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12FC2AD9" w:rsidR="004B2B8C" w:rsidRPr="00CE6097" w:rsidRDefault="002D184F" w:rsidP="00047A5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Expérience</w:t>
            </w:r>
            <w:r w:rsidR="00137871">
              <w:rPr>
                <w:rFonts w:cstheme="minorHAnsi"/>
                <w:sz w:val="28"/>
                <w:szCs w:val="28"/>
              </w:rPr>
              <w:t xml:space="preserve"> d</w:t>
            </w:r>
            <w:r w:rsidR="00D32729">
              <w:rPr>
                <w:rFonts w:cstheme="minorHAnsi"/>
                <w:sz w:val="28"/>
                <w:szCs w:val="28"/>
              </w:rPr>
              <w:t xml:space="preserve">e </w:t>
            </w:r>
            <w:r w:rsidR="000B4483">
              <w:rPr>
                <w:rFonts w:cstheme="minorHAnsi"/>
                <w:sz w:val="28"/>
                <w:szCs w:val="28"/>
              </w:rPr>
              <w:t>biologie</w:t>
            </w:r>
            <w:r w:rsidR="00991128">
              <w:rPr>
                <w:rFonts w:cstheme="minorHAnsi"/>
                <w:sz w:val="28"/>
                <w:szCs w:val="28"/>
              </w:rPr>
              <w:t xml:space="preserve"> : </w:t>
            </w:r>
            <w:r w:rsidR="00EE04E4">
              <w:rPr>
                <w:rFonts w:cstheme="minorHAnsi"/>
                <w:sz w:val="28"/>
                <w:szCs w:val="28"/>
              </w:rPr>
              <w:t xml:space="preserve">La </w:t>
            </w:r>
            <w:r w:rsidR="000B4483">
              <w:rPr>
                <w:rFonts w:cstheme="minorHAnsi"/>
                <w:sz w:val="28"/>
                <w:szCs w:val="28"/>
              </w:rPr>
              <w:t>détermination des groupes sanguins</w:t>
            </w:r>
            <w:r w:rsidR="00F573A8">
              <w:rPr>
                <w:rFonts w:cstheme="minorHAnsi"/>
                <w:sz w:val="28"/>
                <w:szCs w:val="28"/>
              </w:rPr>
              <w:t xml:space="preserve"> ABO </w:t>
            </w:r>
            <w:r w:rsidR="00702F8E">
              <w:rPr>
                <w:rFonts w:cstheme="minorHAnsi"/>
                <w:sz w:val="28"/>
                <w:szCs w:val="28"/>
              </w:rPr>
              <w:t>et Rhésus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3D67463A" w:rsidR="00D5486D" w:rsidRPr="00CE6097" w:rsidRDefault="009E49F9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Biologie</w:t>
            </w:r>
          </w:p>
          <w:p w14:paraId="2E4D7317" w14:textId="00EA8130" w:rsidR="0085793C" w:rsidRPr="00CE6097" w:rsidRDefault="000B4483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Immunologie : groupe sanguin, </w:t>
            </w:r>
            <w:r w:rsidR="00F267FF" w:rsidRPr="00F267FF">
              <w:rPr>
                <w:rFonts w:cstheme="minorHAnsi"/>
              </w:rPr>
              <w:t>agglutination</w:t>
            </w:r>
            <w:r w:rsidR="00F267FF">
              <w:rPr>
                <w:rFonts w:cstheme="minorHAnsi"/>
              </w:rPr>
              <w:t>,</w:t>
            </w:r>
            <w:r w:rsidR="00F267FF" w:rsidRPr="00F267FF">
              <w:rPr>
                <w:rFonts w:cstheme="minorHAnsi"/>
              </w:rPr>
              <w:t xml:space="preserve"> </w:t>
            </w:r>
            <w:r w:rsidR="00702F8E">
              <w:rPr>
                <w:rFonts w:cstheme="minorHAnsi"/>
              </w:rPr>
              <w:t xml:space="preserve">agglutinines, agglutinogènes, </w:t>
            </w:r>
            <w:r>
              <w:rPr>
                <w:rFonts w:cstheme="minorHAnsi"/>
              </w:rPr>
              <w:t>antigène, anticorps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529378C2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584C635C" w:rsidR="004B2B8C" w:rsidRPr="00CE6097" w:rsidRDefault="004B2B8C" w:rsidP="002F58C0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F58C0">
              <w:rPr>
                <w:rFonts w:cstheme="minorHAnsi"/>
              </w:rPr>
              <w:t>56</w:t>
            </w:r>
            <w:r w:rsidR="000B4483">
              <w:rPr>
                <w:rFonts w:cstheme="minorHAnsi"/>
              </w:rPr>
              <w:t xml:space="preserve"> s</w:t>
            </w:r>
          </w:p>
        </w:tc>
      </w:tr>
      <w:tr w:rsidR="004B2B8C" w:rsidRPr="00991128" w14:paraId="2E4D7328" w14:textId="77777777" w:rsidTr="00D16E78">
        <w:trPr>
          <w:trHeight w:val="2460"/>
        </w:trPr>
        <w:tc>
          <w:tcPr>
            <w:tcW w:w="9812" w:type="dxa"/>
            <w:gridSpan w:val="3"/>
          </w:tcPr>
          <w:p w14:paraId="2E4D731C" w14:textId="6355B9D6" w:rsidR="001F3B9F" w:rsidRPr="00991128" w:rsidRDefault="00AE29EA" w:rsidP="00804863">
            <w:pPr>
              <w:spacing w:before="240"/>
              <w:ind w:right="5321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7C5FE23B" wp14:editId="43ABB1B9">
                  <wp:simplePos x="0" y="0"/>
                  <wp:positionH relativeFrom="column">
                    <wp:posOffset>4336415</wp:posOffset>
                  </wp:positionH>
                  <wp:positionV relativeFrom="paragraph">
                    <wp:posOffset>36195</wp:posOffset>
                  </wp:positionV>
                  <wp:extent cx="1714500" cy="147612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9468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15" t="3843" r="14560" b="7776"/>
                          <a:stretch/>
                        </pic:blipFill>
                        <pic:spPr bwMode="auto">
                          <a:xfrm>
                            <a:off x="0" y="0"/>
                            <a:ext cx="1714500" cy="147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726B">
              <w:rPr>
                <w:rFonts w:cstheme="minorHAnsi"/>
              </w:rPr>
              <w:t>M</w:t>
            </w:r>
            <w:r w:rsidR="004B2B8C" w:rsidRPr="00991128">
              <w:rPr>
                <w:rFonts w:cstheme="minorHAnsi"/>
              </w:rPr>
              <w:t xml:space="preserve">atériel et </w:t>
            </w:r>
            <w:r w:rsidR="00FD726B">
              <w:rPr>
                <w:rFonts w:cstheme="minorHAnsi"/>
              </w:rPr>
              <w:t xml:space="preserve">produits nécessaires </w:t>
            </w:r>
          </w:p>
          <w:p w14:paraId="0DFABC79" w14:textId="68702F38" w:rsidR="000B4483" w:rsidRDefault="000B4483" w:rsidP="009F542E">
            <w:pPr>
              <w:pStyle w:val="Paragraphedeliste"/>
              <w:numPr>
                <w:ilvl w:val="0"/>
                <w:numId w:val="2"/>
              </w:numPr>
              <w:ind w:right="4605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des</w:t>
            </w:r>
            <w:proofErr w:type="gramEnd"/>
            <w:r>
              <w:rPr>
                <w:rFonts w:cstheme="minorHAnsi"/>
              </w:rPr>
              <w:t xml:space="preserve"> séru</w:t>
            </w:r>
            <w:r w:rsidR="00502E6D">
              <w:rPr>
                <w:rFonts w:cstheme="minorHAnsi"/>
              </w:rPr>
              <w:t xml:space="preserve">ms test </w:t>
            </w:r>
            <w:proofErr w:type="spellStart"/>
            <w:r w:rsidR="00502E6D">
              <w:rPr>
                <w:rFonts w:cstheme="minorHAnsi"/>
              </w:rPr>
              <w:t>anti-A</w:t>
            </w:r>
            <w:proofErr w:type="spellEnd"/>
            <w:r w:rsidR="00502E6D">
              <w:rPr>
                <w:rFonts w:cstheme="minorHAnsi"/>
              </w:rPr>
              <w:t xml:space="preserve">, </w:t>
            </w:r>
            <w:proofErr w:type="spellStart"/>
            <w:r w:rsidR="00047A5D">
              <w:rPr>
                <w:rFonts w:cstheme="minorHAnsi"/>
              </w:rPr>
              <w:t>anti-B</w:t>
            </w:r>
            <w:proofErr w:type="spellEnd"/>
            <w:r w:rsidR="00502E6D">
              <w:rPr>
                <w:rFonts w:cstheme="minorHAnsi"/>
              </w:rPr>
              <w:t xml:space="preserve">, anti-AB et </w:t>
            </w:r>
            <w:proofErr w:type="spellStart"/>
            <w:r w:rsidR="00502E6D">
              <w:rPr>
                <w:rFonts w:cstheme="minorHAnsi"/>
              </w:rPr>
              <w:t>anti-D</w:t>
            </w:r>
            <w:proofErr w:type="spellEnd"/>
          </w:p>
          <w:p w14:paraId="1CEB5856" w14:textId="54127F69" w:rsidR="000B4483" w:rsidRDefault="000B4483" w:rsidP="00804863">
            <w:pPr>
              <w:pStyle w:val="Paragraphedeliste"/>
              <w:numPr>
                <w:ilvl w:val="0"/>
                <w:numId w:val="2"/>
              </w:numPr>
              <w:spacing w:before="120"/>
              <w:ind w:right="5321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des</w:t>
            </w:r>
            <w:proofErr w:type="gramEnd"/>
            <w:r>
              <w:rPr>
                <w:rFonts w:cstheme="minorHAnsi"/>
              </w:rPr>
              <w:t xml:space="preserve"> agitateurs en plastique</w:t>
            </w:r>
          </w:p>
          <w:p w14:paraId="3E160EFC" w14:textId="3854ED6E" w:rsidR="000B4483" w:rsidRDefault="00A43924" w:rsidP="00804863">
            <w:pPr>
              <w:pStyle w:val="Paragraphedeliste"/>
              <w:numPr>
                <w:ilvl w:val="0"/>
                <w:numId w:val="2"/>
              </w:numPr>
              <w:spacing w:before="120"/>
              <w:ind w:right="5321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des</w:t>
            </w:r>
            <w:proofErr w:type="gramEnd"/>
            <w:r>
              <w:rPr>
                <w:rFonts w:cstheme="minorHAnsi"/>
              </w:rPr>
              <w:t xml:space="preserve"> pipettes en plastique</w:t>
            </w:r>
          </w:p>
          <w:p w14:paraId="5D91E5D5" w14:textId="5EBB5895" w:rsidR="000B4483" w:rsidRDefault="000B4483" w:rsidP="00804863">
            <w:pPr>
              <w:pStyle w:val="Paragraphedeliste"/>
              <w:numPr>
                <w:ilvl w:val="0"/>
                <w:numId w:val="2"/>
              </w:numPr>
              <w:spacing w:before="120"/>
              <w:ind w:right="5321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des</w:t>
            </w:r>
            <w:proofErr w:type="gramEnd"/>
            <w:r>
              <w:rPr>
                <w:rFonts w:cstheme="minorHAnsi"/>
              </w:rPr>
              <w:t xml:space="preserve"> lames porte objet</w:t>
            </w:r>
          </w:p>
          <w:p w14:paraId="504BCF86" w14:textId="56FCC035" w:rsidR="00D92A44" w:rsidRPr="00D92A44" w:rsidRDefault="00D92A44" w:rsidP="00804863">
            <w:pPr>
              <w:pStyle w:val="Paragraphedeliste"/>
              <w:spacing w:before="120"/>
              <w:rPr>
                <w:rFonts w:cstheme="minorHAnsi"/>
              </w:rPr>
            </w:pPr>
          </w:p>
          <w:p w14:paraId="7ADD2D13" w14:textId="341B3A1A" w:rsidR="000B4483" w:rsidRDefault="000B4483" w:rsidP="000B4483">
            <w:pPr>
              <w:rPr>
                <w:rFonts w:cstheme="minorHAnsi"/>
              </w:rPr>
            </w:pPr>
            <w:r w:rsidRPr="000B4483">
              <w:rPr>
                <w:rFonts w:cstheme="minorHAnsi"/>
              </w:rPr>
              <w:t>Mode opératoire</w:t>
            </w:r>
          </w:p>
          <w:p w14:paraId="2E4D7327" w14:textId="2A47D0B7" w:rsidR="000B4483" w:rsidRPr="00991128" w:rsidRDefault="000B4483" w:rsidP="00D16E78">
            <w:pPr>
              <w:ind w:left="708"/>
              <w:rPr>
                <w:rFonts w:cstheme="minorHAnsi"/>
              </w:rPr>
            </w:pPr>
            <w:r w:rsidRPr="000B4483">
              <w:rPr>
                <w:rFonts w:cstheme="minorHAnsi"/>
              </w:rPr>
              <w:t>Les différentes étapes sont visibles dans la vidéo.</w:t>
            </w:r>
          </w:p>
        </w:tc>
      </w:tr>
      <w:tr w:rsidR="004B2B8C" w:rsidRPr="00991128" w14:paraId="2E4D732B" w14:textId="77777777" w:rsidTr="00D16E78">
        <w:trPr>
          <w:trHeight w:val="1828"/>
        </w:trPr>
        <w:tc>
          <w:tcPr>
            <w:tcW w:w="9812" w:type="dxa"/>
            <w:gridSpan w:val="3"/>
          </w:tcPr>
          <w:p w14:paraId="2E4D7329" w14:textId="78846713" w:rsidR="0085793C" w:rsidRDefault="003309E0" w:rsidP="00BB0CE5">
            <w:pPr>
              <w:spacing w:before="240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0B4483">
              <w:rPr>
                <w:rFonts w:cstheme="minorHAnsi"/>
              </w:rPr>
              <w:t xml:space="preserve"> 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2E4D732A" w14:textId="55648CD8" w:rsidR="00AA5450" w:rsidRPr="00991128" w:rsidRDefault="000B4483" w:rsidP="00D16E78">
            <w:pPr>
              <w:ind w:left="708"/>
              <w:jc w:val="both"/>
              <w:rPr>
                <w:rFonts w:cstheme="minorHAnsi"/>
              </w:rPr>
            </w:pPr>
            <w:r w:rsidRPr="000B4483">
              <w:rPr>
                <w:rFonts w:cstheme="minorHAnsi"/>
              </w:rPr>
              <w:t>Toute manipulation de sang humain qu’il soit prélevé sur l’élève ou le professeur est strictement interdite. (Fédération Wallonie-Bruxelles - Circulaire 7137 du 20/05/2019 SECURITE / HYGIENE : Laboratoires de biologie. Utilisation de matériel corporel humain et culture des microorganismes associés)</w:t>
            </w: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0AF3550D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="00FD726B">
              <w:rPr>
                <w:rFonts w:cstheme="minorHAnsi"/>
              </w:rPr>
              <w:t>ation pédagogique </w:t>
            </w:r>
          </w:p>
          <w:p w14:paraId="2A7469AC" w14:textId="565ABFA4" w:rsidR="000B4483" w:rsidRPr="000B4483" w:rsidRDefault="000B4483" w:rsidP="00F267FF">
            <w:pPr>
              <w:pStyle w:val="Paragraphedeliste"/>
              <w:jc w:val="both"/>
              <w:rPr>
                <w:rFonts w:cstheme="minorHAnsi"/>
              </w:rPr>
            </w:pPr>
            <w:r w:rsidRPr="000B4483">
              <w:rPr>
                <w:rFonts w:cstheme="minorHAnsi"/>
              </w:rPr>
              <w:t>Chez les êtres humains, le groupe sanguin est déterminé en fonction des substances présentes à la surface des globules rouges, appelées antigènes ou agglutinogènes. Les groupes sanguins sont regroupés en systèmes. Dans le système ABO, il existe quatre groupes sang</w:t>
            </w:r>
            <w:r w:rsidR="00502E6D">
              <w:rPr>
                <w:rFonts w:cstheme="minorHAnsi"/>
              </w:rPr>
              <w:t>uins possibles : A, B, O et AB et dans le système Rhésus, il y a deux groupes possibles : Rh</w:t>
            </w:r>
            <w:r w:rsidR="00502E6D" w:rsidRPr="00502E6D">
              <w:rPr>
                <w:rFonts w:cstheme="minorHAnsi"/>
                <w:vertAlign w:val="superscript"/>
              </w:rPr>
              <w:t xml:space="preserve">+ </w:t>
            </w:r>
            <w:r w:rsidR="00502E6D">
              <w:rPr>
                <w:rFonts w:cstheme="minorHAnsi"/>
              </w:rPr>
              <w:t>et Rh</w:t>
            </w:r>
            <w:r w:rsidR="00502E6D" w:rsidRPr="00502E6D">
              <w:rPr>
                <w:rFonts w:cstheme="minorHAnsi"/>
                <w:vertAlign w:val="superscript"/>
              </w:rPr>
              <w:t>-</w:t>
            </w:r>
            <w:r w:rsidR="00502E6D">
              <w:rPr>
                <w:rFonts w:cstheme="minorHAnsi"/>
              </w:rPr>
              <w:t>.</w:t>
            </w:r>
          </w:p>
          <w:p w14:paraId="4F011307" w14:textId="6BBC933B" w:rsidR="000B4483" w:rsidRPr="000B4483" w:rsidRDefault="000B4483" w:rsidP="00F267FF">
            <w:pPr>
              <w:pStyle w:val="Paragraphedeliste"/>
              <w:spacing w:before="120"/>
              <w:jc w:val="both"/>
              <w:rPr>
                <w:rFonts w:cstheme="minorHAnsi"/>
              </w:rPr>
            </w:pPr>
            <w:r w:rsidRPr="000B4483">
              <w:rPr>
                <w:rFonts w:cstheme="minorHAnsi"/>
              </w:rPr>
              <w:t>La détermination du groupe sanguin consiste à rechercher la présence de certains agglutinogènes à la surface des globules rouges : les a</w:t>
            </w:r>
            <w:r w:rsidR="00047A5D">
              <w:rPr>
                <w:rFonts w:cstheme="minorHAnsi"/>
              </w:rPr>
              <w:t>gglutinogènes</w:t>
            </w:r>
            <w:r w:rsidRPr="000B4483">
              <w:rPr>
                <w:rFonts w:cstheme="minorHAnsi"/>
              </w:rPr>
              <w:t xml:space="preserve"> A et B</w:t>
            </w:r>
            <w:r w:rsidR="00502E6D">
              <w:rPr>
                <w:rFonts w:cstheme="minorHAnsi"/>
              </w:rPr>
              <w:t>, dans le système ABO et l’agglutinogène rhésus dans le système Rhésus</w:t>
            </w:r>
            <w:r w:rsidRPr="000B4483">
              <w:rPr>
                <w:rFonts w:cstheme="minorHAnsi"/>
              </w:rPr>
              <w:t xml:space="preserve">. La détermination s'effectue avec des sérums test contenant des anticorps </w:t>
            </w:r>
            <w:r w:rsidR="00502E6D">
              <w:rPr>
                <w:rFonts w:cstheme="minorHAnsi"/>
              </w:rPr>
              <w:t xml:space="preserve">(agglutinines) </w:t>
            </w:r>
            <w:r w:rsidRPr="000B4483">
              <w:rPr>
                <w:rFonts w:cstheme="minorHAnsi"/>
              </w:rPr>
              <w:t>connus, afin de mettre en évidence la réaction Antigène</w:t>
            </w:r>
            <w:r w:rsidR="00702F8E">
              <w:rPr>
                <w:rFonts w:cstheme="minorHAnsi"/>
              </w:rPr>
              <w:t xml:space="preserve"> (agglutinogène)</w:t>
            </w:r>
            <w:r w:rsidRPr="000B4483">
              <w:rPr>
                <w:rFonts w:cstheme="minorHAnsi"/>
              </w:rPr>
              <w:t xml:space="preserve"> </w:t>
            </w:r>
            <w:r w:rsidR="00702F8E">
              <w:rPr>
                <w:rFonts w:cstheme="minorHAnsi"/>
              </w:rPr>
              <w:t>–</w:t>
            </w:r>
            <w:r w:rsidRPr="000B4483">
              <w:rPr>
                <w:rFonts w:cstheme="minorHAnsi"/>
              </w:rPr>
              <w:t xml:space="preserve"> Anticorps</w:t>
            </w:r>
            <w:r w:rsidR="00702F8E">
              <w:rPr>
                <w:rFonts w:cstheme="minorHAnsi"/>
              </w:rPr>
              <w:t xml:space="preserve"> (agglutinines)</w:t>
            </w:r>
            <w:r w:rsidRPr="000B4483">
              <w:rPr>
                <w:rFonts w:cstheme="minorHAnsi"/>
              </w:rPr>
              <w:t>.</w:t>
            </w:r>
          </w:p>
          <w:p w14:paraId="07AE51A9" w14:textId="77777777" w:rsidR="00AB46B2" w:rsidRDefault="000B4483" w:rsidP="00F267FF">
            <w:pPr>
              <w:pStyle w:val="Paragraphedeliste"/>
              <w:spacing w:before="120"/>
              <w:jc w:val="both"/>
              <w:rPr>
                <w:rFonts w:cstheme="minorHAnsi"/>
              </w:rPr>
            </w:pPr>
            <w:r w:rsidRPr="000B4483">
              <w:rPr>
                <w:rFonts w:cstheme="minorHAnsi"/>
              </w:rPr>
              <w:t>La présence ou l'absence d'agglutination permet de déterminer l’agglutinogène porté par les globules rouges.</w:t>
            </w:r>
          </w:p>
          <w:p w14:paraId="3C63E40A" w14:textId="77777777" w:rsidR="000B4483" w:rsidRPr="000B4483" w:rsidRDefault="000B4483" w:rsidP="00F267FF">
            <w:pPr>
              <w:spacing w:after="100" w:afterAutospacing="1"/>
              <w:ind w:left="708"/>
              <w:jc w:val="both"/>
              <w:rPr>
                <w:rFonts w:eastAsia="Times New Roman" w:cstheme="minorHAnsi"/>
                <w:color w:val="000000"/>
                <w:lang w:eastAsia="fr-BE"/>
              </w:rPr>
            </w:pPr>
            <w:r w:rsidRPr="000B4483">
              <w:rPr>
                <w:rFonts w:eastAsia="Times New Roman" w:cstheme="minorHAnsi"/>
                <w:color w:val="000000"/>
                <w:lang w:eastAsia="fr-BE"/>
              </w:rPr>
              <w:t>La détermination du groupe sanguin se fait en fonction de l'absence ou la présence d'agglutination.</w:t>
            </w:r>
          </w:p>
          <w:tbl>
            <w:tblPr>
              <w:tblStyle w:val="Grilledutableau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1699"/>
              <w:gridCol w:w="1701"/>
              <w:gridCol w:w="1701"/>
              <w:gridCol w:w="1701"/>
              <w:gridCol w:w="1557"/>
            </w:tblGrid>
            <w:tr w:rsidR="00702F8E" w:rsidRPr="000B4483" w14:paraId="11A610C7" w14:textId="77777777" w:rsidTr="00702F8E">
              <w:tc>
                <w:tcPr>
                  <w:tcW w:w="1699" w:type="dxa"/>
                </w:tcPr>
                <w:p w14:paraId="5F302394" w14:textId="77777777" w:rsidR="00702F8E" w:rsidRPr="000B4483" w:rsidRDefault="00702F8E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 xml:space="preserve">+ sérum </w:t>
                  </w:r>
                  <w:proofErr w:type="spellStart"/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anti-A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54D1DDB3" w14:textId="77777777" w:rsidR="00702F8E" w:rsidRPr="000B4483" w:rsidRDefault="00702F8E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 xml:space="preserve">+ sérum </w:t>
                  </w:r>
                  <w:proofErr w:type="spellStart"/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anti-B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5D259544" w14:textId="0CFD2ACC" w:rsidR="00702F8E" w:rsidRPr="000B4483" w:rsidRDefault="00702F8E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702F8E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+ sérum anti-</w:t>
                  </w:r>
                  <w:r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A</w:t>
                  </w:r>
                  <w:r w:rsidRPr="00702F8E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B</w:t>
                  </w:r>
                </w:p>
              </w:tc>
              <w:tc>
                <w:tcPr>
                  <w:tcW w:w="1701" w:type="dxa"/>
                </w:tcPr>
                <w:p w14:paraId="62EC8E15" w14:textId="5800CA3B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702F8E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 xml:space="preserve">+ sérum </w:t>
                  </w:r>
                  <w:proofErr w:type="spellStart"/>
                  <w:r w:rsidRPr="00702F8E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anti-</w:t>
                  </w:r>
                  <w:r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D</w:t>
                  </w:r>
                  <w:proofErr w:type="spellEnd"/>
                </w:p>
              </w:tc>
              <w:tc>
                <w:tcPr>
                  <w:tcW w:w="1557" w:type="dxa"/>
                </w:tcPr>
                <w:p w14:paraId="49064C33" w14:textId="0C458ADA" w:rsidR="00702F8E" w:rsidRPr="000B4483" w:rsidRDefault="00702F8E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Détermination</w:t>
                  </w:r>
                </w:p>
              </w:tc>
            </w:tr>
            <w:tr w:rsidR="00702F8E" w:rsidRPr="000B4483" w14:paraId="4641F214" w14:textId="77777777" w:rsidTr="00702F8E">
              <w:tc>
                <w:tcPr>
                  <w:tcW w:w="1699" w:type="dxa"/>
                </w:tcPr>
                <w:p w14:paraId="2ADE6A60" w14:textId="77777777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701" w:type="dxa"/>
                </w:tcPr>
                <w:p w14:paraId="31A3B4AD" w14:textId="77777777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701" w:type="dxa"/>
                </w:tcPr>
                <w:p w14:paraId="6D3CA59C" w14:textId="0C7DD426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701" w:type="dxa"/>
                </w:tcPr>
                <w:p w14:paraId="14149A5A" w14:textId="24348818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702F8E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557" w:type="dxa"/>
                </w:tcPr>
                <w:p w14:paraId="57DFF835" w14:textId="0E5AF240" w:rsidR="00702F8E" w:rsidRPr="00702F8E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vertAlign w:val="superscript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</w:t>
                  </w:r>
                  <w:r>
                    <w:rPr>
                      <w:rFonts w:eastAsia="Times New Roman" w:cstheme="minorHAnsi"/>
                      <w:color w:val="000000"/>
                      <w:lang w:eastAsia="fr-BE"/>
                    </w:rPr>
                    <w:t xml:space="preserve"> Rh</w:t>
                  </w:r>
                  <w:r>
                    <w:rPr>
                      <w:rFonts w:eastAsia="Times New Roman" w:cstheme="minorHAnsi"/>
                      <w:color w:val="000000"/>
                      <w:vertAlign w:val="superscript"/>
                      <w:lang w:eastAsia="fr-BE"/>
                    </w:rPr>
                    <w:t>-</w:t>
                  </w:r>
                </w:p>
              </w:tc>
            </w:tr>
            <w:tr w:rsidR="00702F8E" w:rsidRPr="000B4483" w14:paraId="6E2832A5" w14:textId="77777777" w:rsidTr="00702F8E">
              <w:tc>
                <w:tcPr>
                  <w:tcW w:w="1699" w:type="dxa"/>
                </w:tcPr>
                <w:p w14:paraId="37E55008" w14:textId="59DE1BC4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596A89">
                    <w:t>Agglutination</w:t>
                  </w:r>
                </w:p>
              </w:tc>
              <w:tc>
                <w:tcPr>
                  <w:tcW w:w="1701" w:type="dxa"/>
                </w:tcPr>
                <w:p w14:paraId="733C261C" w14:textId="38DC26C3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596A89">
                    <w:t>Pas de réaction</w:t>
                  </w:r>
                </w:p>
              </w:tc>
              <w:tc>
                <w:tcPr>
                  <w:tcW w:w="1701" w:type="dxa"/>
                </w:tcPr>
                <w:p w14:paraId="658EECE4" w14:textId="70C7EAA4" w:rsidR="00702F8E" w:rsidRPr="00B50E69" w:rsidRDefault="00702F8E" w:rsidP="00702F8E">
                  <w:pPr>
                    <w:spacing w:before="100" w:beforeAutospacing="1" w:after="100" w:afterAutospacing="1"/>
                    <w:jc w:val="center"/>
                  </w:pPr>
                  <w:r w:rsidRPr="00596A89">
                    <w:t>Agglutination</w:t>
                  </w:r>
                </w:p>
              </w:tc>
              <w:tc>
                <w:tcPr>
                  <w:tcW w:w="1701" w:type="dxa"/>
                </w:tcPr>
                <w:p w14:paraId="3722D63F" w14:textId="0226E3F2" w:rsidR="00702F8E" w:rsidRPr="00B50E69" w:rsidRDefault="00702F8E" w:rsidP="00702F8E">
                  <w:pPr>
                    <w:spacing w:before="100" w:beforeAutospacing="1" w:after="100" w:afterAutospacing="1"/>
                    <w:jc w:val="center"/>
                  </w:pPr>
                  <w:r w:rsidRPr="00702F8E">
                    <w:t>Agglutination</w:t>
                  </w:r>
                </w:p>
              </w:tc>
              <w:tc>
                <w:tcPr>
                  <w:tcW w:w="1557" w:type="dxa"/>
                </w:tcPr>
                <w:p w14:paraId="4E820C8C" w14:textId="3118B1E8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>
                    <w:t>A Rh</w:t>
                  </w:r>
                  <w:r w:rsidRPr="00702F8E">
                    <w:rPr>
                      <w:vertAlign w:val="superscript"/>
                    </w:rPr>
                    <w:t>+</w:t>
                  </w:r>
                </w:p>
              </w:tc>
            </w:tr>
            <w:tr w:rsidR="00702F8E" w:rsidRPr="000B4483" w14:paraId="21A6794C" w14:textId="77777777" w:rsidTr="00702F8E">
              <w:tc>
                <w:tcPr>
                  <w:tcW w:w="1699" w:type="dxa"/>
                </w:tcPr>
                <w:p w14:paraId="57C024AF" w14:textId="77777777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701" w:type="dxa"/>
                </w:tcPr>
                <w:p w14:paraId="014C265E" w14:textId="77777777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701" w:type="dxa"/>
                </w:tcPr>
                <w:p w14:paraId="01CC1EDE" w14:textId="07665D89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B50E69">
                    <w:t>Agglutination</w:t>
                  </w:r>
                </w:p>
              </w:tc>
              <w:tc>
                <w:tcPr>
                  <w:tcW w:w="1701" w:type="dxa"/>
                </w:tcPr>
                <w:p w14:paraId="3925262C" w14:textId="7D1EFD0C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B50E69">
                    <w:t>Pas de réaction</w:t>
                  </w:r>
                </w:p>
              </w:tc>
              <w:tc>
                <w:tcPr>
                  <w:tcW w:w="1557" w:type="dxa"/>
                </w:tcPr>
                <w:p w14:paraId="05F4F6A3" w14:textId="7D798E9D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B</w:t>
                  </w:r>
                  <w:r>
                    <w:t xml:space="preserve"> </w:t>
                  </w:r>
                  <w:r w:rsidRPr="00702F8E">
                    <w:rPr>
                      <w:rFonts w:eastAsia="Times New Roman" w:cstheme="minorHAnsi"/>
                      <w:color w:val="000000"/>
                      <w:lang w:eastAsia="fr-BE"/>
                    </w:rPr>
                    <w:t>Rh</w:t>
                  </w:r>
                  <w:r w:rsidRPr="00702F8E">
                    <w:rPr>
                      <w:rFonts w:eastAsia="Times New Roman" w:cstheme="minorHAnsi"/>
                      <w:color w:val="000000"/>
                      <w:vertAlign w:val="superscript"/>
                      <w:lang w:eastAsia="fr-BE"/>
                    </w:rPr>
                    <w:t>-</w:t>
                  </w:r>
                </w:p>
              </w:tc>
            </w:tr>
            <w:tr w:rsidR="00702F8E" w:rsidRPr="000B4483" w14:paraId="6F19225C" w14:textId="77777777" w:rsidTr="00702F8E">
              <w:tc>
                <w:tcPr>
                  <w:tcW w:w="1699" w:type="dxa"/>
                </w:tcPr>
                <w:p w14:paraId="066BBDBF" w14:textId="65A776E1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501129">
                    <w:t>Pas de réaction</w:t>
                  </w:r>
                </w:p>
              </w:tc>
              <w:tc>
                <w:tcPr>
                  <w:tcW w:w="1701" w:type="dxa"/>
                </w:tcPr>
                <w:p w14:paraId="6E5AF916" w14:textId="64887259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501129">
                    <w:t>Agglutination</w:t>
                  </w:r>
                </w:p>
              </w:tc>
              <w:tc>
                <w:tcPr>
                  <w:tcW w:w="1701" w:type="dxa"/>
                </w:tcPr>
                <w:p w14:paraId="3312C3BE" w14:textId="6197ADA7" w:rsidR="00702F8E" w:rsidRPr="003E5D6E" w:rsidRDefault="00702F8E" w:rsidP="00702F8E">
                  <w:pPr>
                    <w:spacing w:before="100" w:beforeAutospacing="1" w:after="100" w:afterAutospacing="1"/>
                    <w:jc w:val="center"/>
                  </w:pPr>
                  <w:r w:rsidRPr="00501129">
                    <w:t>Agglutination</w:t>
                  </w:r>
                </w:p>
              </w:tc>
              <w:tc>
                <w:tcPr>
                  <w:tcW w:w="1701" w:type="dxa"/>
                </w:tcPr>
                <w:p w14:paraId="71EC2883" w14:textId="446D3EA5" w:rsidR="00702F8E" w:rsidRPr="003E5D6E" w:rsidRDefault="00702F8E" w:rsidP="00702F8E">
                  <w:pPr>
                    <w:spacing w:before="100" w:beforeAutospacing="1" w:after="100" w:afterAutospacing="1"/>
                    <w:jc w:val="center"/>
                  </w:pPr>
                  <w:r w:rsidRPr="00702F8E">
                    <w:t>Agglutination</w:t>
                  </w:r>
                </w:p>
              </w:tc>
              <w:tc>
                <w:tcPr>
                  <w:tcW w:w="1557" w:type="dxa"/>
                </w:tcPr>
                <w:p w14:paraId="0BDB174A" w14:textId="1CA5EB83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501129">
                    <w:t>B Rh</w:t>
                  </w:r>
                  <w:r w:rsidRPr="00702F8E">
                    <w:rPr>
                      <w:vertAlign w:val="superscript"/>
                    </w:rPr>
                    <w:t>+</w:t>
                  </w:r>
                </w:p>
              </w:tc>
            </w:tr>
            <w:tr w:rsidR="00702F8E" w:rsidRPr="000B4483" w14:paraId="6CAAA4D2" w14:textId="77777777" w:rsidTr="00702F8E">
              <w:tc>
                <w:tcPr>
                  <w:tcW w:w="1699" w:type="dxa"/>
                </w:tcPr>
                <w:p w14:paraId="7C242C8E" w14:textId="77777777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701" w:type="dxa"/>
                </w:tcPr>
                <w:p w14:paraId="12CE4E48" w14:textId="77777777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701" w:type="dxa"/>
                </w:tcPr>
                <w:p w14:paraId="4D6287C1" w14:textId="70C29D90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3E5D6E">
                    <w:t>Agglutination</w:t>
                  </w:r>
                </w:p>
              </w:tc>
              <w:tc>
                <w:tcPr>
                  <w:tcW w:w="1701" w:type="dxa"/>
                </w:tcPr>
                <w:p w14:paraId="765B746E" w14:textId="75239ABD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3E5D6E">
                    <w:t>Pas de réaction</w:t>
                  </w:r>
                </w:p>
              </w:tc>
              <w:tc>
                <w:tcPr>
                  <w:tcW w:w="1557" w:type="dxa"/>
                </w:tcPr>
                <w:p w14:paraId="360EB10A" w14:textId="489FA709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AB</w:t>
                  </w:r>
                  <w:r>
                    <w:t xml:space="preserve"> </w:t>
                  </w:r>
                  <w:r w:rsidRPr="00702F8E">
                    <w:rPr>
                      <w:rFonts w:eastAsia="Times New Roman" w:cstheme="minorHAnsi"/>
                      <w:color w:val="000000"/>
                      <w:lang w:eastAsia="fr-BE"/>
                    </w:rPr>
                    <w:t>Rh</w:t>
                  </w:r>
                  <w:r w:rsidRPr="00702F8E">
                    <w:rPr>
                      <w:rFonts w:eastAsia="Times New Roman" w:cstheme="minorHAnsi"/>
                      <w:color w:val="000000"/>
                      <w:vertAlign w:val="superscript"/>
                      <w:lang w:eastAsia="fr-BE"/>
                    </w:rPr>
                    <w:t>-</w:t>
                  </w:r>
                </w:p>
              </w:tc>
            </w:tr>
            <w:tr w:rsidR="00702F8E" w:rsidRPr="000B4483" w14:paraId="357D3C5B" w14:textId="77777777" w:rsidTr="00702F8E">
              <w:tc>
                <w:tcPr>
                  <w:tcW w:w="1699" w:type="dxa"/>
                </w:tcPr>
                <w:p w14:paraId="7E7216C9" w14:textId="3401B032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2C096A">
                    <w:t>Agglutination</w:t>
                  </w:r>
                </w:p>
              </w:tc>
              <w:tc>
                <w:tcPr>
                  <w:tcW w:w="1701" w:type="dxa"/>
                </w:tcPr>
                <w:p w14:paraId="79E122D7" w14:textId="3FD14D8C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2C096A">
                    <w:t>Agglutination</w:t>
                  </w:r>
                </w:p>
              </w:tc>
              <w:tc>
                <w:tcPr>
                  <w:tcW w:w="1701" w:type="dxa"/>
                </w:tcPr>
                <w:p w14:paraId="4D027BD4" w14:textId="5B98D677" w:rsidR="00702F8E" w:rsidRPr="00702F8E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2C096A">
                    <w:t>Agglutination</w:t>
                  </w:r>
                </w:p>
              </w:tc>
              <w:tc>
                <w:tcPr>
                  <w:tcW w:w="1701" w:type="dxa"/>
                </w:tcPr>
                <w:p w14:paraId="7355593E" w14:textId="658DD1E6" w:rsidR="00702F8E" w:rsidRPr="00702F8E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702F8E">
                    <w:t>Agglutination</w:t>
                  </w:r>
                </w:p>
              </w:tc>
              <w:tc>
                <w:tcPr>
                  <w:tcW w:w="1557" w:type="dxa"/>
                </w:tcPr>
                <w:p w14:paraId="2C4D8893" w14:textId="6BCF5DA7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2C096A">
                    <w:t>AB Rh</w:t>
                  </w:r>
                  <w:r>
                    <w:rPr>
                      <w:vertAlign w:val="superscript"/>
                    </w:rPr>
                    <w:t>+</w:t>
                  </w:r>
                </w:p>
              </w:tc>
            </w:tr>
            <w:tr w:rsidR="00702F8E" w:rsidRPr="000B4483" w14:paraId="66611788" w14:textId="77777777" w:rsidTr="00702F8E">
              <w:tc>
                <w:tcPr>
                  <w:tcW w:w="1699" w:type="dxa"/>
                </w:tcPr>
                <w:p w14:paraId="44D416AA" w14:textId="77777777" w:rsidR="00702F8E" w:rsidRPr="000B4483" w:rsidRDefault="00702F8E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701" w:type="dxa"/>
                </w:tcPr>
                <w:p w14:paraId="1776501A" w14:textId="77777777" w:rsidR="00702F8E" w:rsidRPr="000B4483" w:rsidRDefault="00702F8E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701" w:type="dxa"/>
                </w:tcPr>
                <w:p w14:paraId="63F3C5B6" w14:textId="19CE4937" w:rsidR="00702F8E" w:rsidRPr="000B4483" w:rsidRDefault="00702F8E" w:rsidP="00047A5D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702F8E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701" w:type="dxa"/>
                </w:tcPr>
                <w:p w14:paraId="50B21EE3" w14:textId="2926B6A6" w:rsidR="00702F8E" w:rsidRPr="000B4483" w:rsidRDefault="00702F8E" w:rsidP="00047A5D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702F8E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557" w:type="dxa"/>
                </w:tcPr>
                <w:p w14:paraId="5C9F4D30" w14:textId="4D49C7F6" w:rsidR="00702F8E" w:rsidRPr="000B4483" w:rsidRDefault="00702F8E" w:rsidP="00047A5D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O</w:t>
                  </w:r>
                  <w:r>
                    <w:t xml:space="preserve"> </w:t>
                  </w:r>
                  <w:r w:rsidRPr="00702F8E">
                    <w:rPr>
                      <w:rFonts w:eastAsia="Times New Roman" w:cstheme="minorHAnsi"/>
                      <w:color w:val="000000"/>
                      <w:lang w:eastAsia="fr-BE"/>
                    </w:rPr>
                    <w:t>Rh-</w:t>
                  </w:r>
                </w:p>
              </w:tc>
            </w:tr>
            <w:tr w:rsidR="00702F8E" w:rsidRPr="000B4483" w14:paraId="6EB080D0" w14:textId="77777777" w:rsidTr="00702F8E">
              <w:tc>
                <w:tcPr>
                  <w:tcW w:w="1699" w:type="dxa"/>
                </w:tcPr>
                <w:p w14:paraId="73D674BB" w14:textId="21EA309D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CB7B57">
                    <w:t>Pas de réaction</w:t>
                  </w:r>
                </w:p>
              </w:tc>
              <w:tc>
                <w:tcPr>
                  <w:tcW w:w="1701" w:type="dxa"/>
                </w:tcPr>
                <w:p w14:paraId="054922B9" w14:textId="3057B082" w:rsidR="00702F8E" w:rsidRPr="000B4483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CB7B57">
                    <w:t>Pas de réaction</w:t>
                  </w:r>
                </w:p>
              </w:tc>
              <w:tc>
                <w:tcPr>
                  <w:tcW w:w="1701" w:type="dxa"/>
                </w:tcPr>
                <w:p w14:paraId="61C5BF30" w14:textId="2F1B2AEB" w:rsidR="00702F8E" w:rsidRPr="00702F8E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CB7B57">
                    <w:t>Pas de réaction</w:t>
                  </w:r>
                </w:p>
              </w:tc>
              <w:tc>
                <w:tcPr>
                  <w:tcW w:w="1701" w:type="dxa"/>
                </w:tcPr>
                <w:p w14:paraId="7A44862D" w14:textId="68D1E5F7" w:rsidR="00702F8E" w:rsidRPr="00702F8E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702F8E">
                    <w:t>Agglutination</w:t>
                  </w:r>
                </w:p>
              </w:tc>
              <w:tc>
                <w:tcPr>
                  <w:tcW w:w="1557" w:type="dxa"/>
                </w:tcPr>
                <w:p w14:paraId="31DC6236" w14:textId="7C5B9183" w:rsidR="00702F8E" w:rsidRPr="00702F8E" w:rsidRDefault="00702F8E" w:rsidP="00702F8E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vertAlign w:val="superscript"/>
                      <w:lang w:eastAsia="fr-BE"/>
                    </w:rPr>
                  </w:pPr>
                  <w:r>
                    <w:t>O Rh</w:t>
                  </w:r>
                  <w:r>
                    <w:rPr>
                      <w:vertAlign w:val="superscript"/>
                    </w:rPr>
                    <w:t>+</w:t>
                  </w:r>
                </w:p>
              </w:tc>
            </w:tr>
          </w:tbl>
          <w:p w14:paraId="78AD7E36" w14:textId="77777777" w:rsidR="000B4483" w:rsidRDefault="000B4483" w:rsidP="00D16E78">
            <w:pPr>
              <w:spacing w:before="120"/>
              <w:rPr>
                <w:rFonts w:cstheme="minorHAnsi"/>
              </w:rPr>
            </w:pPr>
          </w:p>
          <w:p w14:paraId="75CED58D" w14:textId="77777777" w:rsidR="001C7535" w:rsidRDefault="001C7535" w:rsidP="001C7535">
            <w:pPr>
              <w:spacing w:before="120"/>
              <w:ind w:left="708"/>
              <w:rPr>
                <w:rFonts w:cstheme="minorHAnsi"/>
              </w:rPr>
            </w:pPr>
          </w:p>
          <w:p w14:paraId="21F3253F" w14:textId="77777777" w:rsidR="001C7535" w:rsidRDefault="001C7535" w:rsidP="001C7535">
            <w:pPr>
              <w:spacing w:before="120"/>
              <w:ind w:left="708"/>
              <w:rPr>
                <w:rFonts w:cstheme="minorHAnsi"/>
              </w:rPr>
            </w:pPr>
          </w:p>
          <w:p w14:paraId="3F9F86B5" w14:textId="61D7C6C3" w:rsidR="00F267FF" w:rsidRDefault="001C7535" w:rsidP="001C7535">
            <w:pPr>
              <w:spacing w:before="120"/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 vidéos permettent de détermin</w:t>
            </w:r>
            <w:r w:rsidR="002F58C0">
              <w:rPr>
                <w:rFonts w:cstheme="minorHAnsi"/>
              </w:rPr>
              <w:t>er différents groupes sanguins. Il faut arrêter les vidéos après 50 </w:t>
            </w:r>
            <w:bookmarkStart w:id="0" w:name="_GoBack"/>
            <w:bookmarkEnd w:id="0"/>
            <w:r w:rsidR="002F58C0">
              <w:rPr>
                <w:rFonts w:cstheme="minorHAnsi"/>
              </w:rPr>
              <w:t>secondes pour permettre aux élèves d’analyser et d’interpréter les résultats.</w:t>
            </w:r>
          </w:p>
          <w:p w14:paraId="6F2D7D25" w14:textId="5156172D" w:rsidR="001C7535" w:rsidRPr="001C7535" w:rsidRDefault="001C7535" w:rsidP="001C7535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 w:rsidRPr="001C7535">
              <w:rPr>
                <w:rFonts w:cstheme="minorHAnsi"/>
              </w:rPr>
              <w:t>ABO-Rhésus_1 : A+</w:t>
            </w:r>
          </w:p>
          <w:p w14:paraId="2959736D" w14:textId="45607B43" w:rsidR="001C7535" w:rsidRPr="001C7535" w:rsidRDefault="001C7535" w:rsidP="001C7535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 w:rsidRPr="001C7535">
              <w:rPr>
                <w:rFonts w:cstheme="minorHAnsi"/>
              </w:rPr>
              <w:t>ABO-Rhésus_2 : B+</w:t>
            </w:r>
          </w:p>
          <w:p w14:paraId="0B6C8D89" w14:textId="4D615AF7" w:rsidR="001C7535" w:rsidRPr="001C7535" w:rsidRDefault="001C7535" w:rsidP="001C7535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 w:rsidRPr="001C7535">
              <w:rPr>
                <w:rFonts w:cstheme="minorHAnsi"/>
              </w:rPr>
              <w:t>ABO-Rhésus_3 : AB+</w:t>
            </w:r>
          </w:p>
          <w:p w14:paraId="5E7E68DB" w14:textId="74D08ADA" w:rsidR="001C7535" w:rsidRPr="001C7535" w:rsidRDefault="001C7535" w:rsidP="001C7535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 w:rsidRPr="001C7535">
              <w:rPr>
                <w:rFonts w:cstheme="minorHAnsi"/>
              </w:rPr>
              <w:t>ABO-Rhésus_4 : O+</w:t>
            </w:r>
          </w:p>
          <w:p w14:paraId="48141A03" w14:textId="5C8757E5" w:rsidR="001C7535" w:rsidRPr="001C7535" w:rsidRDefault="001C7535" w:rsidP="001C7535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 w:rsidRPr="001C7535">
              <w:rPr>
                <w:rFonts w:cstheme="minorHAnsi"/>
              </w:rPr>
              <w:t>ABO-Rhésus_5 : O-</w:t>
            </w:r>
          </w:p>
          <w:p w14:paraId="198AFEF7" w14:textId="13C106C5" w:rsidR="001C7535" w:rsidRPr="00D16E78" w:rsidRDefault="001C7535" w:rsidP="001C7535">
            <w:pPr>
              <w:spacing w:before="120"/>
              <w:ind w:left="708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 w:rsidP="00D16E78">
      <w:pPr>
        <w:rPr>
          <w:rFonts w:cstheme="minorHAnsi"/>
        </w:rPr>
      </w:pPr>
    </w:p>
    <w:sectPr w:rsidR="004B2B8C" w:rsidRPr="00CE6097" w:rsidSect="00A827CC">
      <w:headerReference w:type="default" r:id="rId9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B11E" w14:textId="77777777" w:rsidR="00F715AD" w:rsidRDefault="00F715AD" w:rsidP="00245A87">
      <w:pPr>
        <w:spacing w:after="0" w:line="240" w:lineRule="auto"/>
      </w:pPr>
      <w:r>
        <w:separator/>
      </w:r>
    </w:p>
  </w:endnote>
  <w:endnote w:type="continuationSeparator" w:id="0">
    <w:p w14:paraId="01BF1A74" w14:textId="77777777" w:rsidR="00F715AD" w:rsidRDefault="00F715AD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BE76C" w14:textId="77777777" w:rsidR="00F715AD" w:rsidRDefault="00F715AD" w:rsidP="00245A87">
      <w:pPr>
        <w:spacing w:after="0" w:line="240" w:lineRule="auto"/>
      </w:pPr>
      <w:r>
        <w:separator/>
      </w:r>
    </w:p>
  </w:footnote>
  <w:footnote w:type="continuationSeparator" w:id="0">
    <w:p w14:paraId="6E2D6767" w14:textId="77777777" w:rsidR="00F715AD" w:rsidRDefault="00F715AD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154"/>
    <w:multiLevelType w:val="hybridMultilevel"/>
    <w:tmpl w:val="6874BEE8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7404267"/>
    <w:multiLevelType w:val="hybridMultilevel"/>
    <w:tmpl w:val="395C02C6"/>
    <w:lvl w:ilvl="0" w:tplc="74EE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5935"/>
    <w:multiLevelType w:val="hybridMultilevel"/>
    <w:tmpl w:val="3166995C"/>
    <w:lvl w:ilvl="0" w:tplc="74EE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4EF5"/>
    <w:rsid w:val="00025CA0"/>
    <w:rsid w:val="0003030D"/>
    <w:rsid w:val="00033045"/>
    <w:rsid w:val="0004074D"/>
    <w:rsid w:val="00047A5D"/>
    <w:rsid w:val="000546F7"/>
    <w:rsid w:val="0007204C"/>
    <w:rsid w:val="000B4483"/>
    <w:rsid w:val="000B6D74"/>
    <w:rsid w:val="00137871"/>
    <w:rsid w:val="00156918"/>
    <w:rsid w:val="00156ED6"/>
    <w:rsid w:val="00161367"/>
    <w:rsid w:val="00167842"/>
    <w:rsid w:val="00197B8C"/>
    <w:rsid w:val="001C7535"/>
    <w:rsid w:val="001E4D91"/>
    <w:rsid w:val="001F3B9F"/>
    <w:rsid w:val="00220CE6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2F58C0"/>
    <w:rsid w:val="00324484"/>
    <w:rsid w:val="003309E0"/>
    <w:rsid w:val="00332AB3"/>
    <w:rsid w:val="00336FD9"/>
    <w:rsid w:val="00354DC2"/>
    <w:rsid w:val="00387269"/>
    <w:rsid w:val="003C635C"/>
    <w:rsid w:val="003E3142"/>
    <w:rsid w:val="003F363A"/>
    <w:rsid w:val="003F7BEB"/>
    <w:rsid w:val="00430F6D"/>
    <w:rsid w:val="004354A1"/>
    <w:rsid w:val="004502CD"/>
    <w:rsid w:val="00465CBC"/>
    <w:rsid w:val="00475B25"/>
    <w:rsid w:val="00484A63"/>
    <w:rsid w:val="004B2B8C"/>
    <w:rsid w:val="00502E6D"/>
    <w:rsid w:val="00552C47"/>
    <w:rsid w:val="005550B6"/>
    <w:rsid w:val="0055648A"/>
    <w:rsid w:val="0055693E"/>
    <w:rsid w:val="005700A3"/>
    <w:rsid w:val="00575516"/>
    <w:rsid w:val="00587F3F"/>
    <w:rsid w:val="005A0573"/>
    <w:rsid w:val="005A411A"/>
    <w:rsid w:val="005B38F1"/>
    <w:rsid w:val="005C4C67"/>
    <w:rsid w:val="005D5BBB"/>
    <w:rsid w:val="005F0046"/>
    <w:rsid w:val="00605CE4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2F8E"/>
    <w:rsid w:val="00703575"/>
    <w:rsid w:val="00706A1E"/>
    <w:rsid w:val="00710689"/>
    <w:rsid w:val="00742A77"/>
    <w:rsid w:val="00750064"/>
    <w:rsid w:val="00753E82"/>
    <w:rsid w:val="007941F2"/>
    <w:rsid w:val="007A526C"/>
    <w:rsid w:val="007B658C"/>
    <w:rsid w:val="007D387E"/>
    <w:rsid w:val="007E2B5C"/>
    <w:rsid w:val="007E3130"/>
    <w:rsid w:val="007F53C7"/>
    <w:rsid w:val="008006EC"/>
    <w:rsid w:val="00800915"/>
    <w:rsid w:val="008032A1"/>
    <w:rsid w:val="00804863"/>
    <w:rsid w:val="008057DB"/>
    <w:rsid w:val="00827E28"/>
    <w:rsid w:val="00831C1E"/>
    <w:rsid w:val="00841023"/>
    <w:rsid w:val="00841B1E"/>
    <w:rsid w:val="00842320"/>
    <w:rsid w:val="008472E2"/>
    <w:rsid w:val="00851CAA"/>
    <w:rsid w:val="0085793C"/>
    <w:rsid w:val="00860181"/>
    <w:rsid w:val="00867FF0"/>
    <w:rsid w:val="009255A3"/>
    <w:rsid w:val="0094213A"/>
    <w:rsid w:val="00945DD8"/>
    <w:rsid w:val="009658C3"/>
    <w:rsid w:val="00982440"/>
    <w:rsid w:val="00991128"/>
    <w:rsid w:val="009B1428"/>
    <w:rsid w:val="009B16E0"/>
    <w:rsid w:val="009D1797"/>
    <w:rsid w:val="009E49F9"/>
    <w:rsid w:val="009F0D0F"/>
    <w:rsid w:val="009F542E"/>
    <w:rsid w:val="00A02905"/>
    <w:rsid w:val="00A13459"/>
    <w:rsid w:val="00A43924"/>
    <w:rsid w:val="00A45DD4"/>
    <w:rsid w:val="00A53FC9"/>
    <w:rsid w:val="00A80288"/>
    <w:rsid w:val="00A827CC"/>
    <w:rsid w:val="00AA1E06"/>
    <w:rsid w:val="00AA31EC"/>
    <w:rsid w:val="00AA5450"/>
    <w:rsid w:val="00AB3D92"/>
    <w:rsid w:val="00AB46B2"/>
    <w:rsid w:val="00AB4909"/>
    <w:rsid w:val="00AB677A"/>
    <w:rsid w:val="00AC0D2B"/>
    <w:rsid w:val="00AC28BE"/>
    <w:rsid w:val="00AD05D8"/>
    <w:rsid w:val="00AE29EA"/>
    <w:rsid w:val="00AF74C6"/>
    <w:rsid w:val="00B13777"/>
    <w:rsid w:val="00B35F74"/>
    <w:rsid w:val="00B7436C"/>
    <w:rsid w:val="00B839CB"/>
    <w:rsid w:val="00BB0CE5"/>
    <w:rsid w:val="00BB0E63"/>
    <w:rsid w:val="00BC7B9B"/>
    <w:rsid w:val="00BE1A2C"/>
    <w:rsid w:val="00C25F6D"/>
    <w:rsid w:val="00C32CE3"/>
    <w:rsid w:val="00C37C5F"/>
    <w:rsid w:val="00C44D42"/>
    <w:rsid w:val="00CC645D"/>
    <w:rsid w:val="00CD1BB7"/>
    <w:rsid w:val="00CE019C"/>
    <w:rsid w:val="00CE04C8"/>
    <w:rsid w:val="00CE6097"/>
    <w:rsid w:val="00D16E78"/>
    <w:rsid w:val="00D26B79"/>
    <w:rsid w:val="00D32729"/>
    <w:rsid w:val="00D43A50"/>
    <w:rsid w:val="00D5486D"/>
    <w:rsid w:val="00D85155"/>
    <w:rsid w:val="00D92A44"/>
    <w:rsid w:val="00DA30F5"/>
    <w:rsid w:val="00E044A3"/>
    <w:rsid w:val="00E158ED"/>
    <w:rsid w:val="00E70534"/>
    <w:rsid w:val="00EA195C"/>
    <w:rsid w:val="00EB0690"/>
    <w:rsid w:val="00EC3D79"/>
    <w:rsid w:val="00EE04E4"/>
    <w:rsid w:val="00EE14D0"/>
    <w:rsid w:val="00EE7489"/>
    <w:rsid w:val="00EF67EC"/>
    <w:rsid w:val="00F267FF"/>
    <w:rsid w:val="00F3164C"/>
    <w:rsid w:val="00F36047"/>
    <w:rsid w:val="00F56797"/>
    <w:rsid w:val="00F573A8"/>
    <w:rsid w:val="00F715AD"/>
    <w:rsid w:val="00FA248D"/>
    <w:rsid w:val="00FA6D04"/>
    <w:rsid w:val="00FB6A98"/>
    <w:rsid w:val="00FC4B29"/>
    <w:rsid w:val="00FD35B4"/>
    <w:rsid w:val="00FD726B"/>
    <w:rsid w:val="00FE3157"/>
    <w:rsid w:val="00FE723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1789-D5A1-4D73-8981-E4EE9335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Michel Faway</cp:lastModifiedBy>
  <cp:revision>2</cp:revision>
  <cp:lastPrinted>2020-03-02T09:03:00Z</cp:lastPrinted>
  <dcterms:created xsi:type="dcterms:W3CDTF">2020-03-18T10:54:00Z</dcterms:created>
  <dcterms:modified xsi:type="dcterms:W3CDTF">2020-03-18T10:54:00Z</dcterms:modified>
</cp:coreProperties>
</file>