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755592AD" w:rsidR="004B2B8C" w:rsidRPr="00CE6097" w:rsidRDefault="00ED7E7C" w:rsidP="004F00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Bernoulli et l’écoulement </w:t>
            </w:r>
            <w:r w:rsidR="004F00DF">
              <w:rPr>
                <w:rFonts w:cstheme="minorHAnsi"/>
                <w:sz w:val="28"/>
                <w:szCs w:val="28"/>
              </w:rPr>
              <w:t xml:space="preserve">d’un jet d’eau </w:t>
            </w:r>
            <w:r>
              <w:rPr>
                <w:rFonts w:cstheme="minorHAnsi"/>
                <w:sz w:val="28"/>
                <w:szCs w:val="28"/>
              </w:rPr>
              <w:t>à la sortie d’un robinet</w:t>
            </w:r>
            <w:r w:rsidR="0099112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645E4E4D" w:rsidR="0085793C" w:rsidRPr="00CE6097" w:rsidRDefault="00ED7E7C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 des fluides</w:t>
            </w:r>
            <w:r w:rsidR="004B2B8C" w:rsidRPr="00CE6097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Bernoulli et l’écoulement </w:t>
            </w:r>
            <w:r w:rsidR="004F00DF">
              <w:rPr>
                <w:rFonts w:cstheme="minorHAnsi"/>
              </w:rPr>
              <w:t>laminaire stationnaire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054C01">
        <w:trPr>
          <w:trHeight w:val="2176"/>
        </w:trPr>
        <w:tc>
          <w:tcPr>
            <w:tcW w:w="9812" w:type="dxa"/>
            <w:gridSpan w:val="3"/>
          </w:tcPr>
          <w:p w14:paraId="2E4D731C" w14:textId="6E50B481" w:rsidR="001F3B9F" w:rsidRPr="00991128" w:rsidRDefault="00054C01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5245A464" wp14:editId="1C18B55D">
                  <wp:simplePos x="0" y="0"/>
                  <wp:positionH relativeFrom="column">
                    <wp:posOffset>5758815</wp:posOffset>
                  </wp:positionH>
                  <wp:positionV relativeFrom="paragraph">
                    <wp:posOffset>1905</wp:posOffset>
                  </wp:positionV>
                  <wp:extent cx="392430" cy="1315720"/>
                  <wp:effectExtent l="0" t="0" r="7620" b="0"/>
                  <wp:wrapTight wrapText="bothSides">
                    <wp:wrapPolygon edited="0">
                      <wp:start x="0" y="0"/>
                      <wp:lineTo x="0" y="21266"/>
                      <wp:lineTo x="20971" y="21266"/>
                      <wp:lineTo x="20971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binet et Bernoull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66733F4F" w:rsidR="00AF74C6" w:rsidRPr="00991128" w:rsidRDefault="00ED7E7C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Le plus simple qui soit : un robinet ! </w:t>
            </w:r>
          </w:p>
          <w:p w14:paraId="2E4D7327" w14:textId="78375B0B" w:rsidR="0085793C" w:rsidRPr="00991128" w:rsidRDefault="0085793C" w:rsidP="00472E5B">
            <w:pPr>
              <w:ind w:left="708"/>
              <w:rPr>
                <w:rFonts w:cstheme="minorHAnsi"/>
              </w:rPr>
            </w:pPr>
          </w:p>
        </w:tc>
        <w:bookmarkStart w:id="0" w:name="_GoBack"/>
        <w:bookmarkEnd w:id="0"/>
      </w:tr>
      <w:tr w:rsidR="004B2B8C" w:rsidRPr="00991128" w14:paraId="2E4D732B" w14:textId="77777777" w:rsidTr="004F00DF">
        <w:trPr>
          <w:trHeight w:val="1138"/>
        </w:trPr>
        <w:tc>
          <w:tcPr>
            <w:tcW w:w="9812" w:type="dxa"/>
            <w:gridSpan w:val="3"/>
          </w:tcPr>
          <w:p w14:paraId="2E4D7329" w14:textId="6F8779C2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4433D649" w:rsidR="00137871" w:rsidRPr="00991128" w:rsidRDefault="0013445A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Régler le débit pour que l’écoulement ne soit pas turbulent.</w:t>
            </w:r>
          </w:p>
          <w:p w14:paraId="2E4D732A" w14:textId="75BAF7C9" w:rsidR="00AA5450" w:rsidRPr="00991128" w:rsidRDefault="00AA5450" w:rsidP="00161367">
            <w:pPr>
              <w:spacing w:after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20C0D26E" w:rsidR="003309E0" w:rsidRPr="00991128" w:rsidRDefault="000A590B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5E2804D7" wp14:editId="32BE4ED0">
                  <wp:simplePos x="0" y="0"/>
                  <wp:positionH relativeFrom="column">
                    <wp:posOffset>5216525</wp:posOffset>
                  </wp:positionH>
                  <wp:positionV relativeFrom="paragraph">
                    <wp:posOffset>11430</wp:posOffset>
                  </wp:positionV>
                  <wp:extent cx="942340" cy="2114550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0960" y="21405"/>
                      <wp:lineTo x="20960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binet et Bernoulli détail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367"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="00161367" w:rsidRPr="00991128">
              <w:rPr>
                <w:rFonts w:cstheme="minorHAnsi"/>
              </w:rPr>
              <w:t>ation pédagogique :</w:t>
            </w:r>
          </w:p>
          <w:p w14:paraId="0C312BC7" w14:textId="170DA935" w:rsidR="00BD4DA1" w:rsidRDefault="00BD4DA1" w:rsidP="00BD4DA1">
            <w:pPr>
              <w:spacing w:before="120"/>
              <w:ind w:left="709"/>
              <w:rPr>
                <w:rFonts w:cstheme="minorHAnsi"/>
              </w:rPr>
            </w:pPr>
            <w:r w:rsidRPr="00201C9F">
              <w:rPr>
                <w:rFonts w:cstheme="minorHAnsi"/>
                <w:u w:val="single"/>
              </w:rPr>
              <w:t>Pour rappel, la loi de Bernoulli s’énonce comme suit</w:t>
            </w:r>
            <w:r>
              <w:rPr>
                <w:rFonts w:cstheme="minorHAnsi"/>
              </w:rPr>
              <w:t xml:space="preserve"> : l’écoulement laminaire stationnaire d’un liquide homogène idéal à travers une canalisation étanche est tel que la pression p et la vitesse v sont liées entre elles suivant la relation : </w:t>
            </w:r>
            <w:r w:rsidRPr="00201C9F">
              <w:rPr>
                <w:rFonts w:cstheme="minorHAnsi"/>
                <w:b/>
              </w:rPr>
              <w:t xml:space="preserve">p + </w:t>
            </w:r>
            <w:r w:rsidRPr="00201C9F">
              <w:rPr>
                <w:rFonts w:cstheme="minorHAnsi"/>
                <w:b/>
              </w:rPr>
              <w:sym w:font="Symbol" w:char="F072"/>
            </w:r>
            <w:r w:rsidRPr="00201C9F">
              <w:rPr>
                <w:rFonts w:cstheme="minorHAnsi"/>
                <w:b/>
              </w:rPr>
              <w:t>gH + 1/2</w:t>
            </w:r>
            <w:r w:rsidRPr="00201C9F">
              <w:rPr>
                <w:rFonts w:cstheme="minorHAnsi"/>
                <w:b/>
              </w:rPr>
              <w:sym w:font="Symbol" w:char="F072"/>
            </w:r>
            <w:r w:rsidRPr="00201C9F">
              <w:rPr>
                <w:rFonts w:cstheme="minorHAnsi"/>
                <w:b/>
              </w:rPr>
              <w:t>v² = constante</w:t>
            </w:r>
            <w:r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sym w:font="Symbol" w:char="F072"/>
            </w:r>
            <w:r>
              <w:rPr>
                <w:rFonts w:cstheme="minorHAnsi"/>
              </w:rPr>
              <w:t xml:space="preserve"> est la masse volumique, g l’accélération de la pesanteur et h la hauteur du point considéré à l’intérieur du liquide.</w:t>
            </w:r>
          </w:p>
          <w:p w14:paraId="6014F21E" w14:textId="529A6EFD" w:rsidR="00161367" w:rsidRDefault="00BD4DA1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Cette</w:t>
            </w:r>
            <w:r w:rsidR="0013445A">
              <w:rPr>
                <w:rFonts w:cstheme="minorHAnsi"/>
              </w:rPr>
              <w:t xml:space="preserve"> loi permet d’expliquer pourquoi le filet d’eau prend cette forme lorsqu’il sort verticalement d’un robinet</w:t>
            </w:r>
            <w:r w:rsidR="0097485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En effet </w:t>
            </w:r>
            <w:r w:rsidR="00E16F96">
              <w:rPr>
                <w:rFonts w:cstheme="minorHAnsi"/>
              </w:rPr>
              <w:t xml:space="preserve">si S et v représentent la section du filet d’eau ainsi que la vitesse de l’eau à un endroit, alors </w:t>
            </w:r>
            <w:r>
              <w:rPr>
                <w:rFonts w:cstheme="minorHAnsi"/>
              </w:rPr>
              <w:t>:</w:t>
            </w:r>
          </w:p>
          <w:p w14:paraId="5D75F646" w14:textId="4DFCF306" w:rsidR="002D683C" w:rsidRPr="00BD4DA1" w:rsidRDefault="000A590B" w:rsidP="00BD4DA1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 w:rsidRPr="00BD4DA1">
              <w:rPr>
                <w:rFonts w:cstheme="minorHAnsi"/>
              </w:rPr>
              <w:t>Dans un écoulement laminaire stationnaire : S</w:t>
            </w:r>
            <w:r w:rsidRPr="00BD4DA1">
              <w:rPr>
                <w:rFonts w:cstheme="minorHAnsi"/>
                <w:vertAlign w:val="subscript"/>
              </w:rPr>
              <w:t>1</w:t>
            </w:r>
            <w:r w:rsidR="00E16F96">
              <w:rPr>
                <w:rFonts w:cstheme="minorHAnsi"/>
              </w:rPr>
              <w:t>v</w:t>
            </w:r>
            <w:r w:rsidRPr="00BD4DA1">
              <w:rPr>
                <w:rFonts w:cstheme="minorHAnsi"/>
                <w:vertAlign w:val="subscript"/>
              </w:rPr>
              <w:t>1</w:t>
            </w:r>
            <w:r w:rsidRPr="00BD4DA1">
              <w:rPr>
                <w:rFonts w:cstheme="minorHAnsi"/>
              </w:rPr>
              <w:t xml:space="preserve"> = S</w:t>
            </w:r>
            <w:r w:rsidRPr="00BD4DA1">
              <w:rPr>
                <w:rFonts w:cstheme="minorHAnsi"/>
                <w:vertAlign w:val="subscript"/>
              </w:rPr>
              <w:t>2</w:t>
            </w:r>
            <w:r w:rsidR="00E16F96">
              <w:rPr>
                <w:rFonts w:cstheme="minorHAnsi"/>
              </w:rPr>
              <w:t>v</w:t>
            </w:r>
            <w:r w:rsidRPr="00BD4DA1">
              <w:rPr>
                <w:rFonts w:cstheme="minorHAnsi"/>
                <w:vertAlign w:val="subscript"/>
              </w:rPr>
              <w:t>2</w:t>
            </w:r>
            <w:r w:rsidRPr="00BD4DA1">
              <w:rPr>
                <w:rFonts w:cstheme="minorHAnsi"/>
              </w:rPr>
              <w:t xml:space="preserve">  </w:t>
            </w:r>
            <w:proofErr w:type="gramStart"/>
            <w:r w:rsidRPr="00BD4DA1">
              <w:rPr>
                <w:rFonts w:cstheme="minorHAnsi"/>
              </w:rPr>
              <w:t xml:space="preserve">   (</w:t>
            </w:r>
            <w:proofErr w:type="gramEnd"/>
            <w:r w:rsidRPr="00BD4DA1">
              <w:rPr>
                <w:rFonts w:cstheme="minorHAnsi"/>
              </w:rPr>
              <w:t>1)</w:t>
            </w:r>
          </w:p>
          <w:p w14:paraId="0BD0FE47" w14:textId="3BB8165A" w:rsidR="000A590B" w:rsidRPr="00BD4DA1" w:rsidRDefault="000A590B" w:rsidP="00BD4DA1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 w:rsidRPr="00BD4DA1">
              <w:rPr>
                <w:rFonts w:cstheme="minorHAnsi"/>
              </w:rPr>
              <w:t xml:space="preserve">La loi de Bernoulli permet d’écrire dans ce cas : </w:t>
            </w:r>
            <w:r>
              <w:sym w:font="Symbol" w:char="F072"/>
            </w:r>
            <w:r w:rsidRPr="00BD4DA1">
              <w:rPr>
                <w:rFonts w:cstheme="minorHAnsi"/>
              </w:rPr>
              <w:t>v</w:t>
            </w:r>
            <w:r w:rsidRPr="00BD4DA1">
              <w:rPr>
                <w:rFonts w:cstheme="minorHAnsi"/>
                <w:vertAlign w:val="subscript"/>
              </w:rPr>
              <w:t>1</w:t>
            </w:r>
            <w:r w:rsidRPr="00BD4DA1">
              <w:rPr>
                <w:rFonts w:cstheme="minorHAnsi"/>
              </w:rPr>
              <w:t xml:space="preserve">²/2 + </w:t>
            </w:r>
            <w:r>
              <w:sym w:font="Symbol" w:char="F072"/>
            </w:r>
            <w:r w:rsidRPr="00BD4DA1">
              <w:rPr>
                <w:rFonts w:cstheme="minorHAnsi"/>
              </w:rPr>
              <w:t xml:space="preserve">gh = </w:t>
            </w:r>
            <w:r>
              <w:sym w:font="Symbol" w:char="F072"/>
            </w:r>
            <w:r w:rsidRPr="00BD4DA1">
              <w:rPr>
                <w:rFonts w:cstheme="minorHAnsi"/>
              </w:rPr>
              <w:t>v</w:t>
            </w:r>
            <w:r w:rsidRPr="00BD4DA1">
              <w:rPr>
                <w:rFonts w:cstheme="minorHAnsi"/>
                <w:vertAlign w:val="subscript"/>
              </w:rPr>
              <w:t>2</w:t>
            </w:r>
            <w:r w:rsidRPr="00BD4DA1">
              <w:rPr>
                <w:rFonts w:cstheme="minorHAnsi"/>
              </w:rPr>
              <w:t>²/2     (2)</w:t>
            </w:r>
          </w:p>
          <w:p w14:paraId="035CC846" w14:textId="3AC002EA" w:rsidR="000A590B" w:rsidRDefault="00472E5B" w:rsidP="000A590B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31322A95" wp14:editId="316D162B">
                  <wp:simplePos x="0" y="0"/>
                  <wp:positionH relativeFrom="column">
                    <wp:posOffset>5043805</wp:posOffset>
                  </wp:positionH>
                  <wp:positionV relativeFrom="paragraph">
                    <wp:posOffset>106680</wp:posOffset>
                  </wp:positionV>
                  <wp:extent cx="1100455" cy="2880890"/>
                  <wp:effectExtent l="0" t="0" r="4445" b="0"/>
                  <wp:wrapTight wrapText="bothSides">
                    <wp:wrapPolygon edited="0">
                      <wp:start x="0" y="0"/>
                      <wp:lineTo x="0" y="21429"/>
                      <wp:lineTo x="21313" y="21429"/>
                      <wp:lineTo x="21313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et du robine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6" cy="288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590B">
              <w:rPr>
                <w:rFonts w:cstheme="minorHAnsi"/>
              </w:rPr>
              <w:t>De (2) : v</w:t>
            </w:r>
            <w:r w:rsidR="000A590B" w:rsidRPr="002108BA">
              <w:rPr>
                <w:rFonts w:cstheme="minorHAnsi"/>
                <w:vertAlign w:val="subscript"/>
              </w:rPr>
              <w:t>2</w:t>
            </w:r>
            <w:r w:rsidR="000A590B">
              <w:rPr>
                <w:rFonts w:cstheme="minorHAnsi"/>
              </w:rPr>
              <w:t xml:space="preserve"> = </w:t>
            </w:r>
            <w:r w:rsidR="000A590B">
              <w:rPr>
                <w:rFonts w:cstheme="minorHAnsi"/>
              </w:rPr>
              <w:sym w:font="Symbol" w:char="F0D6"/>
            </w:r>
            <w:r w:rsidR="000A590B">
              <w:rPr>
                <w:rFonts w:cstheme="minorHAnsi"/>
              </w:rPr>
              <w:t>(v</w:t>
            </w:r>
            <w:r w:rsidR="000A590B" w:rsidRPr="002108BA">
              <w:rPr>
                <w:rFonts w:cstheme="minorHAnsi"/>
                <w:vertAlign w:val="subscript"/>
              </w:rPr>
              <w:t>1</w:t>
            </w:r>
            <w:r w:rsidR="000A590B">
              <w:rPr>
                <w:rFonts w:cstheme="minorHAnsi"/>
              </w:rPr>
              <w:t>² + 2gh)</w:t>
            </w:r>
          </w:p>
          <w:p w14:paraId="2F4C2CA6" w14:textId="02FCE3E9" w:rsidR="000A590B" w:rsidRDefault="00BD4DA1" w:rsidP="002108BA">
            <w:pPr>
              <w:spacing w:before="120"/>
              <w:ind w:left="7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(2) dans (1) on trouve finalement</w:t>
            </w:r>
            <w:r w:rsidR="000A590B">
              <w:rPr>
                <w:rFonts w:cstheme="minorHAnsi"/>
              </w:rPr>
              <w:t xml:space="preserve"> : </w:t>
            </w:r>
            <w:r w:rsidR="000A590B" w:rsidRPr="002108BA">
              <w:rPr>
                <w:rFonts w:cstheme="minorHAnsi"/>
                <w:sz w:val="24"/>
                <w:szCs w:val="24"/>
              </w:rPr>
              <w:t>S</w:t>
            </w:r>
            <w:r w:rsidR="000A590B" w:rsidRPr="002108BA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="000A590B" w:rsidRPr="002108BA">
              <w:rPr>
                <w:rFonts w:cstheme="minorHAnsi"/>
                <w:sz w:val="24"/>
                <w:szCs w:val="24"/>
              </w:rPr>
              <w:t xml:space="preserve"> = (S</w:t>
            </w:r>
            <w:r w:rsidR="000A590B" w:rsidRPr="002108BA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 w:rsidR="000A590B" w:rsidRPr="002108BA">
              <w:rPr>
                <w:rFonts w:cstheme="minorHAnsi"/>
                <w:sz w:val="24"/>
                <w:szCs w:val="24"/>
              </w:rPr>
              <w:t>.v</w:t>
            </w:r>
            <w:r w:rsidR="000A590B" w:rsidRPr="002108BA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 w:rsidR="000A590B" w:rsidRPr="002108BA">
              <w:rPr>
                <w:rFonts w:cstheme="minorHAnsi"/>
                <w:sz w:val="24"/>
                <w:szCs w:val="24"/>
              </w:rPr>
              <w:t>)</w:t>
            </w:r>
            <w:r w:rsidR="002108BA" w:rsidRPr="002108BA">
              <w:rPr>
                <w:rFonts w:cstheme="minorHAnsi"/>
                <w:sz w:val="24"/>
                <w:szCs w:val="24"/>
              </w:rPr>
              <w:t>/[</w:t>
            </w:r>
            <w:r w:rsidR="002108BA" w:rsidRPr="002108BA">
              <w:rPr>
                <w:rFonts w:cstheme="minorHAnsi"/>
                <w:sz w:val="24"/>
                <w:szCs w:val="24"/>
              </w:rPr>
              <w:sym w:font="Symbol" w:char="F0D6"/>
            </w:r>
            <w:r w:rsidR="002108BA" w:rsidRPr="002108BA">
              <w:rPr>
                <w:rFonts w:cstheme="minorHAnsi"/>
                <w:sz w:val="24"/>
                <w:szCs w:val="24"/>
              </w:rPr>
              <w:t>(v</w:t>
            </w:r>
            <w:r w:rsidR="002108BA" w:rsidRPr="002108BA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 w:rsidR="002108BA" w:rsidRPr="002108BA">
              <w:rPr>
                <w:rFonts w:cstheme="minorHAnsi"/>
                <w:sz w:val="24"/>
                <w:szCs w:val="24"/>
              </w:rPr>
              <w:t>² + 2gh)]</w:t>
            </w:r>
            <w:r w:rsidR="00472E5B">
              <w:rPr>
                <w:rFonts w:cstheme="minorHAnsi"/>
                <w:sz w:val="24"/>
                <w:szCs w:val="24"/>
              </w:rPr>
              <w:t xml:space="preserve">     (3)</w:t>
            </w:r>
          </w:p>
          <w:p w14:paraId="198AFEF7" w14:textId="445EEE45" w:rsidR="00F108EB" w:rsidRPr="00137871" w:rsidRDefault="00472E5B" w:rsidP="004F00DF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472E5B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>
              <w:rPr>
                <w:rFonts w:cstheme="minorHAnsi"/>
                <w:sz w:val="24"/>
                <w:szCs w:val="24"/>
              </w:rPr>
              <w:t>, v</w:t>
            </w:r>
            <w:r w:rsidRPr="00472E5B">
              <w:rPr>
                <w:rFonts w:cstheme="minorHAnsi"/>
                <w:sz w:val="24"/>
                <w:szCs w:val="24"/>
                <w:vertAlign w:val="subscript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étant constantes à la sortie du robinet ainsi que g, l’équation (3) à</w:t>
            </w:r>
            <w:r w:rsidR="00F108EB">
              <w:rPr>
                <w:rFonts w:cstheme="minorHAnsi"/>
                <w:sz w:val="24"/>
                <w:szCs w:val="24"/>
              </w:rPr>
              <w:t xml:space="preserve"> en fonction de h </w:t>
            </w:r>
            <w:r>
              <w:rPr>
                <w:rFonts w:cstheme="minorHAnsi"/>
                <w:sz w:val="24"/>
                <w:szCs w:val="24"/>
              </w:rPr>
              <w:t xml:space="preserve">peut être réduite </w:t>
            </w:r>
            <w:r w:rsidR="004F00DF">
              <w:rPr>
                <w:rFonts w:cstheme="minorHAnsi"/>
                <w:sz w:val="24"/>
                <w:szCs w:val="24"/>
              </w:rPr>
              <w:t xml:space="preserve">mathématiquement </w:t>
            </w:r>
            <w:r>
              <w:rPr>
                <w:rFonts w:cstheme="minorHAnsi"/>
                <w:sz w:val="24"/>
                <w:szCs w:val="24"/>
              </w:rPr>
              <w:t xml:space="preserve">à </w:t>
            </w:r>
            <w:r w:rsidR="00F108E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y = C/(</w:t>
            </w:r>
            <w:r>
              <w:rPr>
                <w:rFonts w:cstheme="minorHAnsi"/>
                <w:sz w:val="24"/>
                <w:szCs w:val="24"/>
              </w:rPr>
              <w:sym w:font="Symbol" w:char="F0D6"/>
            </w:r>
            <w:r w:rsidR="004F00DF">
              <w:rPr>
                <w:rFonts w:cstheme="minorHAnsi"/>
                <w:sz w:val="24"/>
                <w:szCs w:val="24"/>
              </w:rPr>
              <w:t>x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4F00DF">
              <w:rPr>
                <w:rFonts w:cstheme="minorHAnsi"/>
                <w:sz w:val="24"/>
                <w:szCs w:val="24"/>
              </w:rPr>
              <w:t xml:space="preserve"> (avec C, une constante </w:t>
            </w:r>
            <w:r w:rsidR="004F00DF">
              <w:rPr>
                <w:rFonts w:cstheme="minorHAnsi"/>
                <w:sz w:val="24"/>
                <w:szCs w:val="24"/>
              </w:rPr>
              <w:sym w:font="Symbol" w:char="F0B9"/>
            </w:r>
            <w:r w:rsidR="004F00DF">
              <w:rPr>
                <w:rFonts w:cstheme="minorHAnsi"/>
                <w:sz w:val="24"/>
                <w:szCs w:val="24"/>
              </w:rPr>
              <w:t xml:space="preserve"> 0 et x = h ). On obtient dans ce cas la courbe en vert. En traçant ensuite la courbe y = -C/(</w:t>
            </w:r>
            <w:r w:rsidR="004F00DF">
              <w:rPr>
                <w:rFonts w:cstheme="minorHAnsi"/>
                <w:sz w:val="24"/>
                <w:szCs w:val="24"/>
              </w:rPr>
              <w:sym w:font="Symbol" w:char="F0D6"/>
            </w:r>
            <w:r w:rsidR="004F00DF">
              <w:rPr>
                <w:rFonts w:cstheme="minorHAnsi"/>
                <w:sz w:val="24"/>
                <w:szCs w:val="24"/>
              </w:rPr>
              <w:t>h), on obtient la courbe bleue. L’ensemble reforme bien l’allure du jet d’eau durant sa chute.</w:t>
            </w: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322343AF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1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28FF2DE8" w14:textId="77777777" w:rsidR="00F108EB" w:rsidRDefault="00F108EB" w:rsidP="00F108EB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des tests sur la mécanique des fluides sur </w:t>
            </w:r>
            <w:hyperlink r:id="rId12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0DE86F36" w14:textId="77777777" w:rsidR="00F108EB" w:rsidRPr="00991128" w:rsidRDefault="00F108EB" w:rsidP="00AC28BE">
            <w:pPr>
              <w:spacing w:before="120"/>
              <w:ind w:left="709"/>
              <w:rPr>
                <w:rFonts w:cstheme="minorHAnsi"/>
              </w:rPr>
            </w:pPr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65FB379B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3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9E11E" w14:textId="77777777" w:rsidR="00206F30" w:rsidRDefault="00206F30" w:rsidP="00245A87">
      <w:pPr>
        <w:spacing w:after="0" w:line="240" w:lineRule="auto"/>
      </w:pPr>
      <w:r>
        <w:separator/>
      </w:r>
    </w:p>
  </w:endnote>
  <w:endnote w:type="continuationSeparator" w:id="0">
    <w:p w14:paraId="78187459" w14:textId="77777777" w:rsidR="00206F30" w:rsidRDefault="00206F30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FFE0A" w14:textId="77777777" w:rsidR="00206F30" w:rsidRDefault="00206F30" w:rsidP="00245A87">
      <w:pPr>
        <w:spacing w:after="0" w:line="240" w:lineRule="auto"/>
      </w:pPr>
      <w:r>
        <w:separator/>
      </w:r>
    </w:p>
  </w:footnote>
  <w:footnote w:type="continuationSeparator" w:id="0">
    <w:p w14:paraId="6D3C0DC2" w14:textId="77777777" w:rsidR="00206F30" w:rsidRDefault="00206F30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F0D"/>
    <w:multiLevelType w:val="hybridMultilevel"/>
    <w:tmpl w:val="CC020508"/>
    <w:lvl w:ilvl="0" w:tplc="B226014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54C01"/>
    <w:rsid w:val="000A590B"/>
    <w:rsid w:val="000B6D74"/>
    <w:rsid w:val="0013445A"/>
    <w:rsid w:val="00137871"/>
    <w:rsid w:val="00156ED6"/>
    <w:rsid w:val="00161367"/>
    <w:rsid w:val="00167842"/>
    <w:rsid w:val="00197B8C"/>
    <w:rsid w:val="001F3B9F"/>
    <w:rsid w:val="00206D35"/>
    <w:rsid w:val="00206F30"/>
    <w:rsid w:val="002108BA"/>
    <w:rsid w:val="00245A87"/>
    <w:rsid w:val="00265173"/>
    <w:rsid w:val="0026575A"/>
    <w:rsid w:val="00273D4C"/>
    <w:rsid w:val="00283844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536AD"/>
    <w:rsid w:val="00465CBC"/>
    <w:rsid w:val="00472E5B"/>
    <w:rsid w:val="00484A63"/>
    <w:rsid w:val="004B2B8C"/>
    <w:rsid w:val="004F00DF"/>
    <w:rsid w:val="00511328"/>
    <w:rsid w:val="00552C47"/>
    <w:rsid w:val="0055648A"/>
    <w:rsid w:val="0055693E"/>
    <w:rsid w:val="005700A3"/>
    <w:rsid w:val="00587F3F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526C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74859"/>
    <w:rsid w:val="00982440"/>
    <w:rsid w:val="00991128"/>
    <w:rsid w:val="009B1428"/>
    <w:rsid w:val="009D1797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BD4DA1"/>
    <w:rsid w:val="00C25F6D"/>
    <w:rsid w:val="00C37C5F"/>
    <w:rsid w:val="00C44D42"/>
    <w:rsid w:val="00CD1BB7"/>
    <w:rsid w:val="00CE019C"/>
    <w:rsid w:val="00CE04C8"/>
    <w:rsid w:val="00CE6097"/>
    <w:rsid w:val="00D26B79"/>
    <w:rsid w:val="00D43A50"/>
    <w:rsid w:val="00D5486D"/>
    <w:rsid w:val="00DA30F5"/>
    <w:rsid w:val="00DD0414"/>
    <w:rsid w:val="00E16F96"/>
    <w:rsid w:val="00E30636"/>
    <w:rsid w:val="00E70534"/>
    <w:rsid w:val="00EA195C"/>
    <w:rsid w:val="00EB0690"/>
    <w:rsid w:val="00ED7E7C"/>
    <w:rsid w:val="00EE14D0"/>
    <w:rsid w:val="00F108EB"/>
    <w:rsid w:val="00F3164C"/>
    <w:rsid w:val="00F56797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gnosciences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r.uclouvain.b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C9C2-FD08-473B-A465-96378310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10</cp:revision>
  <cp:lastPrinted>2016-02-23T09:33:00Z</cp:lastPrinted>
  <dcterms:created xsi:type="dcterms:W3CDTF">2020-02-04T08:34:00Z</dcterms:created>
  <dcterms:modified xsi:type="dcterms:W3CDTF">2020-02-05T07:25:00Z</dcterms:modified>
</cp:coreProperties>
</file>