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3C8433E8" w:rsidR="004B2B8C" w:rsidRPr="00CE6097" w:rsidRDefault="00C1421C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Bernoulli et la variation des pressions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  <w:r w:rsidR="00215AD7">
              <w:rPr>
                <w:rFonts w:cstheme="minorHAnsi"/>
                <w:sz w:val="28"/>
                <w:szCs w:val="28"/>
              </w:rPr>
              <w:t>dans un écoulement laminaire stationnaire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020D5E81" w:rsidR="0085793C" w:rsidRPr="00CE6097" w:rsidRDefault="00C1421C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des fluides</w:t>
            </w:r>
            <w:r w:rsidR="004B2B8C" w:rsidRPr="00CE6097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Une application de la loi de Bernoulli</w:t>
            </w:r>
            <w:r w:rsidR="004B2B8C" w:rsidRPr="00CE6097">
              <w:rPr>
                <w:rFonts w:cstheme="minorHAnsi"/>
              </w:rPr>
              <w:t xml:space="preserve"> 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697BAFE9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6543134C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64DB51CA" w:rsidR="001F3B9F" w:rsidRPr="00991128" w:rsidRDefault="00A47A96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1AC1DED3" wp14:editId="5257F701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0</wp:posOffset>
                  </wp:positionV>
                  <wp:extent cx="1766570" cy="2506980"/>
                  <wp:effectExtent l="0" t="0" r="5080" b="7620"/>
                  <wp:wrapTight wrapText="bothSides">
                    <wp:wrapPolygon edited="0">
                      <wp:start x="0" y="0"/>
                      <wp:lineTo x="0" y="21502"/>
                      <wp:lineTo x="21429" y="21502"/>
                      <wp:lineTo x="2142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ntage Bernoull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6885820E" w:rsidR="00AF74C6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1421C">
              <w:rPr>
                <w:rFonts w:cstheme="minorHAnsi"/>
              </w:rPr>
              <w:t>Des tuyaux</w:t>
            </w:r>
            <w:r w:rsidR="00BA0F45">
              <w:rPr>
                <w:rFonts w:cstheme="minorHAnsi"/>
              </w:rPr>
              <w:t xml:space="preserve"> (en cuivre dans la vidéo) </w:t>
            </w:r>
            <w:r w:rsidR="00C1421C">
              <w:rPr>
                <w:rFonts w:cstheme="minorHAnsi"/>
              </w:rPr>
              <w:t>de diamètres différents</w:t>
            </w:r>
            <w:r w:rsidR="00BA0F45">
              <w:rPr>
                <w:rFonts w:cstheme="minorHAnsi"/>
              </w:rPr>
              <w:t xml:space="preserve"> d’une longueur de 20 cm environ</w:t>
            </w:r>
            <w:r w:rsidR="00C1421C">
              <w:rPr>
                <w:rFonts w:cstheme="minorHAnsi"/>
              </w:rPr>
              <w:t>.</w:t>
            </w:r>
          </w:p>
          <w:p w14:paraId="0E446A9A" w14:textId="31DCAEA2" w:rsidR="00C1421C" w:rsidRDefault="00C1421C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alimentation en eau (robinet)</w:t>
            </w:r>
            <w:r w:rsidR="00BA0F45">
              <w:rPr>
                <w:rFonts w:cstheme="minorHAnsi"/>
              </w:rPr>
              <w:t>.</w:t>
            </w:r>
          </w:p>
          <w:p w14:paraId="569F7C55" w14:textId="7E19AB55" w:rsidR="00C1421C" w:rsidRDefault="00C1421C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Des « T</w:t>
            </w:r>
            <w:r w:rsidR="00BA0F45">
              <w:rPr>
                <w:rFonts w:cstheme="minorHAnsi"/>
              </w:rPr>
              <w:t>é</w:t>
            </w:r>
            <w:r>
              <w:rPr>
                <w:rFonts w:cstheme="minorHAnsi"/>
              </w:rPr>
              <w:t> » et des réductions.</w:t>
            </w:r>
          </w:p>
          <w:p w14:paraId="3BFADEDD" w14:textId="7879725C" w:rsidR="00C1421C" w:rsidRDefault="00C1421C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Des tubes en verre.</w:t>
            </w:r>
          </w:p>
          <w:p w14:paraId="5F2C2C92" w14:textId="1354886A" w:rsidR="00215AD7" w:rsidRDefault="00215AD7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Des raccords en caoutchouc.</w:t>
            </w:r>
          </w:p>
          <w:p w14:paraId="651A115F" w14:textId="2C62BE38" w:rsidR="00C1421C" w:rsidRPr="00991128" w:rsidRDefault="00DE7D0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7708CA6F" wp14:editId="1FDD4F8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283845</wp:posOffset>
                  </wp:positionV>
                  <wp:extent cx="1479550" cy="718820"/>
                  <wp:effectExtent l="0" t="0" r="6350" b="5080"/>
                  <wp:wrapTight wrapText="bothSides">
                    <wp:wrapPolygon edited="0">
                      <wp:start x="0" y="0"/>
                      <wp:lineTo x="0" y="21180"/>
                      <wp:lineTo x="21415" y="21180"/>
                      <wp:lineTo x="21415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étail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21C" w:rsidRPr="00C1421C">
              <w:rPr>
                <w:rFonts w:cstheme="minorHAnsi"/>
                <w:u w:val="single"/>
              </w:rPr>
              <w:t>Remarque</w:t>
            </w:r>
            <w:r w:rsidR="00C1421C">
              <w:rPr>
                <w:rFonts w:cstheme="minorHAnsi"/>
              </w:rPr>
              <w:t> : dans la vidéo, les tubes sont en cuivre de diamètres 18, 1</w:t>
            </w:r>
            <w:r w:rsidR="00C75F1C">
              <w:rPr>
                <w:rFonts w:cstheme="minorHAnsi"/>
              </w:rPr>
              <w:t>6</w:t>
            </w:r>
            <w:r w:rsidR="00C1421C">
              <w:rPr>
                <w:rFonts w:cstheme="minorHAnsi"/>
              </w:rPr>
              <w:t xml:space="preserve"> et 10 mm, reliés entre eux par des réductions. Sur chaque tube, un « T</w:t>
            </w:r>
            <w:r w:rsidR="00215AD7">
              <w:rPr>
                <w:rFonts w:cstheme="minorHAnsi"/>
              </w:rPr>
              <w:t>é</w:t>
            </w:r>
            <w:r w:rsidR="00C1421C">
              <w:rPr>
                <w:rFonts w:cstheme="minorHAnsi"/>
              </w:rPr>
              <w:t> »</w:t>
            </w:r>
            <w:r w:rsidR="00BF49DB">
              <w:rPr>
                <w:rFonts w:cstheme="minorHAnsi"/>
              </w:rPr>
              <w:t xml:space="preserve"> permet d’insérer un tube en verre</w:t>
            </w:r>
            <w:r w:rsidR="00C75F1C">
              <w:rPr>
                <w:rFonts w:cstheme="minorHAnsi"/>
              </w:rPr>
              <w:t xml:space="preserve"> par l’intermédiaire d’un raccord en caoutchouc. Le niveau de l’eau dans chaque tube est repéré par une bille </w:t>
            </w:r>
            <w:r w:rsidR="001C7538">
              <w:rPr>
                <w:rFonts w:cstheme="minorHAnsi"/>
              </w:rPr>
              <w:t xml:space="preserve">(perle) </w:t>
            </w:r>
            <w:r w:rsidR="00C75F1C">
              <w:rPr>
                <w:rFonts w:cstheme="minorHAnsi"/>
              </w:rPr>
              <w:t>en bois flottant à la surface.</w:t>
            </w:r>
          </w:p>
          <w:p w14:paraId="2E4D7321" w14:textId="1D606424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43F417A1" w:rsidR="0085793C" w:rsidRPr="00991128" w:rsidRDefault="0085793C" w:rsidP="00DE7D01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5EC772F3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2E4D732A" w14:textId="2E4805E2" w:rsidR="00AA5450" w:rsidRPr="00991128" w:rsidRDefault="00BF49DB" w:rsidP="00BF49DB">
            <w:pPr>
              <w:spacing w:after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Il faut augmenter progressivement le débit d’eau. On voit alors nettement la variation des pressions dans les différentes sections.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5F746935" w:rsidR="003309E0" w:rsidRPr="00991128" w:rsidRDefault="001C7538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71AFDC49" wp14:editId="5889C834">
                  <wp:simplePos x="0" y="0"/>
                  <wp:positionH relativeFrom="column">
                    <wp:posOffset>3545205</wp:posOffset>
                  </wp:positionH>
                  <wp:positionV relativeFrom="paragraph">
                    <wp:posOffset>0</wp:posOffset>
                  </wp:positionV>
                  <wp:extent cx="2611755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27" y="21166"/>
                      <wp:lineTo x="2142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rnoulli schém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6A149C46" w14:textId="491F44AD" w:rsidR="00BF49DB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>-</w:t>
            </w:r>
            <w:r w:rsidR="00BF49DB">
              <w:rPr>
                <w:rFonts w:cstheme="minorHAnsi"/>
              </w:rPr>
              <w:t xml:space="preserve">Une application concrète de la loi de Bernoulli. Lorsque le débit est constant, là où la section est petite la vitesse de l’eau est grande et la pression </w:t>
            </w:r>
            <w:r w:rsidR="00504D3E">
              <w:rPr>
                <w:rFonts w:cstheme="minorHAnsi"/>
              </w:rPr>
              <w:t xml:space="preserve">statique </w:t>
            </w:r>
            <w:r w:rsidR="00BF49DB">
              <w:rPr>
                <w:rFonts w:cstheme="minorHAnsi"/>
              </w:rPr>
              <w:t xml:space="preserve">est faible. Par contre, là où la section est grande, la vitesse de l’eau est plus faible mai la pression </w:t>
            </w:r>
            <w:r w:rsidR="00504D3E">
              <w:rPr>
                <w:rFonts w:cstheme="minorHAnsi"/>
              </w:rPr>
              <w:t xml:space="preserve">statique </w:t>
            </w:r>
            <w:r w:rsidR="00BF49DB">
              <w:rPr>
                <w:rFonts w:cstheme="minorHAnsi"/>
              </w:rPr>
              <w:t>est plus grande.</w:t>
            </w:r>
          </w:p>
          <w:p w14:paraId="6014F21E" w14:textId="00043D57" w:rsidR="00161367" w:rsidRDefault="00BF49DB" w:rsidP="00137871">
            <w:pPr>
              <w:spacing w:before="120"/>
              <w:ind w:left="709"/>
              <w:rPr>
                <w:rFonts w:cstheme="minorHAnsi"/>
              </w:rPr>
            </w:pPr>
            <w:r w:rsidRPr="00201C9F">
              <w:rPr>
                <w:rFonts w:cstheme="minorHAnsi"/>
                <w:u w:val="single"/>
              </w:rPr>
              <w:t>Pour rappel, la loi de Bernoulli s’énonce comme suit</w:t>
            </w:r>
            <w:r>
              <w:rPr>
                <w:rFonts w:cstheme="minorHAnsi"/>
              </w:rPr>
              <w:t> : l’écoulement laminaire stationnaire d’un liquide homogène idéal à travers une canalisation étanche est tel que la pression</w:t>
            </w:r>
            <w:r w:rsidR="00504D3E">
              <w:rPr>
                <w:rFonts w:cstheme="minorHAnsi"/>
              </w:rPr>
              <w:t xml:space="preserve"> statique</w:t>
            </w:r>
            <w:bookmarkStart w:id="0" w:name="_GoBack"/>
            <w:bookmarkEnd w:id="0"/>
            <w:r>
              <w:rPr>
                <w:rFonts w:cstheme="minorHAnsi"/>
              </w:rPr>
              <w:t xml:space="preserve"> p et la vitesse v sont liées entre elles suivant la relation : </w:t>
            </w:r>
            <w:r w:rsidRPr="00201C9F">
              <w:rPr>
                <w:rFonts w:cstheme="minorHAnsi"/>
                <w:b/>
              </w:rPr>
              <w:t xml:space="preserve">p + </w:t>
            </w:r>
            <w:r w:rsidR="00201C9F" w:rsidRPr="00201C9F">
              <w:rPr>
                <w:rFonts w:cstheme="minorHAnsi"/>
                <w:b/>
              </w:rPr>
              <w:sym w:font="Symbol" w:char="F072"/>
            </w:r>
            <w:proofErr w:type="spellStart"/>
            <w:r w:rsidR="00201C9F" w:rsidRPr="00201C9F">
              <w:rPr>
                <w:rFonts w:cstheme="minorHAnsi"/>
                <w:b/>
              </w:rPr>
              <w:t>gH</w:t>
            </w:r>
            <w:proofErr w:type="spellEnd"/>
            <w:r w:rsidR="00201C9F" w:rsidRPr="00201C9F">
              <w:rPr>
                <w:rFonts w:cstheme="minorHAnsi"/>
                <w:b/>
              </w:rPr>
              <w:t xml:space="preserve"> + 1/2</w:t>
            </w:r>
            <w:r w:rsidR="00201C9F" w:rsidRPr="00201C9F">
              <w:rPr>
                <w:rFonts w:cstheme="minorHAnsi"/>
                <w:b/>
              </w:rPr>
              <w:sym w:font="Symbol" w:char="F072"/>
            </w:r>
            <w:r w:rsidR="00201C9F" w:rsidRPr="00201C9F">
              <w:rPr>
                <w:rFonts w:cstheme="minorHAnsi"/>
                <w:b/>
              </w:rPr>
              <w:t>v² = constante</w:t>
            </w:r>
            <w:r w:rsidR="00201C9F">
              <w:rPr>
                <w:rFonts w:cstheme="minorHAnsi"/>
              </w:rPr>
              <w:t xml:space="preserve"> (</w:t>
            </w:r>
            <w:r w:rsidR="00201C9F">
              <w:rPr>
                <w:rFonts w:cstheme="minorHAnsi"/>
              </w:rPr>
              <w:sym w:font="Symbol" w:char="F072"/>
            </w:r>
            <w:r w:rsidR="00201C9F">
              <w:rPr>
                <w:rFonts w:cstheme="minorHAnsi"/>
              </w:rPr>
              <w:t xml:space="preserve"> est la masse volumique, g l’accélération de la pesanteur et h la hauteur du point considéré à l’intérieur du liquide.</w:t>
            </w:r>
          </w:p>
          <w:p w14:paraId="198AFEF7" w14:textId="5C165703" w:rsidR="002D683C" w:rsidRPr="00137871" w:rsidRDefault="002D683C" w:rsidP="00201C9F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2456194F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5870FD08" w14:textId="4E46EDCF" w:rsidR="00E548B1" w:rsidRDefault="00E548B1" w:rsidP="00E548B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Des expériences diverses sur ce thème sont également exploitées dans des tests sur la mécanique des fluides sur </w:t>
            </w:r>
            <w:hyperlink r:id="rId12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A164" w14:textId="77777777" w:rsidR="00970406" w:rsidRDefault="00970406" w:rsidP="00245A87">
      <w:pPr>
        <w:spacing w:after="0" w:line="240" w:lineRule="auto"/>
      </w:pPr>
      <w:r>
        <w:separator/>
      </w:r>
    </w:p>
  </w:endnote>
  <w:endnote w:type="continuationSeparator" w:id="0">
    <w:p w14:paraId="38968D87" w14:textId="77777777" w:rsidR="00970406" w:rsidRDefault="00970406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DE41" w14:textId="77777777" w:rsidR="00970406" w:rsidRDefault="00970406" w:rsidP="00245A87">
      <w:pPr>
        <w:spacing w:after="0" w:line="240" w:lineRule="auto"/>
      </w:pPr>
      <w:r>
        <w:separator/>
      </w:r>
    </w:p>
  </w:footnote>
  <w:footnote w:type="continuationSeparator" w:id="0">
    <w:p w14:paraId="4C14386E" w14:textId="77777777" w:rsidR="00970406" w:rsidRDefault="00970406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146E"/>
    <w:multiLevelType w:val="hybridMultilevel"/>
    <w:tmpl w:val="BC244D78"/>
    <w:lvl w:ilvl="0" w:tplc="BB2AC65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C7538"/>
    <w:rsid w:val="001F3B9F"/>
    <w:rsid w:val="00201C9F"/>
    <w:rsid w:val="00215AD7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04D3E"/>
    <w:rsid w:val="00505655"/>
    <w:rsid w:val="00511328"/>
    <w:rsid w:val="005279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70406"/>
    <w:rsid w:val="00974987"/>
    <w:rsid w:val="00982440"/>
    <w:rsid w:val="00991128"/>
    <w:rsid w:val="009B1428"/>
    <w:rsid w:val="009D1797"/>
    <w:rsid w:val="00A032A8"/>
    <w:rsid w:val="00A45DD4"/>
    <w:rsid w:val="00A47A96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A0F45"/>
    <w:rsid w:val="00BB73C8"/>
    <w:rsid w:val="00BF49DB"/>
    <w:rsid w:val="00C1421C"/>
    <w:rsid w:val="00C25F6D"/>
    <w:rsid w:val="00C37C5F"/>
    <w:rsid w:val="00C44D42"/>
    <w:rsid w:val="00C75F1C"/>
    <w:rsid w:val="00CD1BB7"/>
    <w:rsid w:val="00CE019C"/>
    <w:rsid w:val="00CE04C8"/>
    <w:rsid w:val="00CE6097"/>
    <w:rsid w:val="00D16971"/>
    <w:rsid w:val="00D26B79"/>
    <w:rsid w:val="00D43A50"/>
    <w:rsid w:val="00D5486D"/>
    <w:rsid w:val="00D61662"/>
    <w:rsid w:val="00DA30F5"/>
    <w:rsid w:val="00DD0414"/>
    <w:rsid w:val="00DE7D01"/>
    <w:rsid w:val="00E548B1"/>
    <w:rsid w:val="00E70534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5DE5-C676-4252-A616-46EE2F08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11</cp:revision>
  <cp:lastPrinted>2016-02-23T09:33:00Z</cp:lastPrinted>
  <dcterms:created xsi:type="dcterms:W3CDTF">2020-02-04T07:30:00Z</dcterms:created>
  <dcterms:modified xsi:type="dcterms:W3CDTF">2020-02-18T07:50:00Z</dcterms:modified>
</cp:coreProperties>
</file>