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081"/>
        <w:gridCol w:w="2874"/>
        <w:gridCol w:w="2102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05174D10" w:rsidR="004B2B8C" w:rsidRPr="00CE6097" w:rsidRDefault="00E90DB7" w:rsidP="00E90D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L’électrophore de Volta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57B2D066" w:rsidR="0085793C" w:rsidRPr="00CE6097" w:rsidRDefault="00E90DB7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Electrostatique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L’électrophore de Volta et la tension électrique.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CA1EE3">
        <w:trPr>
          <w:trHeight w:val="3027"/>
        </w:trPr>
        <w:tc>
          <w:tcPr>
            <w:tcW w:w="9812" w:type="dxa"/>
            <w:gridSpan w:val="3"/>
          </w:tcPr>
          <w:p w14:paraId="2E4D731C" w14:textId="5553F22B" w:rsidR="001F3B9F" w:rsidRPr="00991128" w:rsidRDefault="00F30CB8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0030D409" wp14:editId="69B6A3A4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103505</wp:posOffset>
                  </wp:positionV>
                  <wp:extent cx="2762250" cy="1650365"/>
                  <wp:effectExtent l="0" t="0" r="0" b="6985"/>
                  <wp:wrapTight wrapText="bothSides">
                    <wp:wrapPolygon edited="0">
                      <wp:start x="0" y="0"/>
                      <wp:lineTo x="0" y="21442"/>
                      <wp:lineTo x="21451" y="21442"/>
                      <wp:lineTo x="2145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ctrophoro Volta matéri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019CA4E4" w:rsidR="00AF74C6" w:rsidRDefault="00AF74C6" w:rsidP="00024510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90DB7">
              <w:rPr>
                <w:rFonts w:cstheme="minorHAnsi"/>
              </w:rPr>
              <w:t>Un plateau isolant (couvercle en plastique).</w:t>
            </w:r>
          </w:p>
          <w:p w14:paraId="50E02326" w14:textId="4C847F1A" w:rsidR="00E90DB7" w:rsidRDefault="00E90DB7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 la laine</w:t>
            </w:r>
            <w:r w:rsidR="00550D5A">
              <w:rPr>
                <w:rFonts w:cstheme="minorHAnsi"/>
              </w:rPr>
              <w:t xml:space="preserve"> (ou un morceau de polystyrène)</w:t>
            </w:r>
            <w:r>
              <w:rPr>
                <w:rFonts w:cstheme="minorHAnsi"/>
              </w:rPr>
              <w:t>.</w:t>
            </w:r>
          </w:p>
          <w:p w14:paraId="19789655" w14:textId="0D52CBC7" w:rsidR="00E90DB7" w:rsidRDefault="00E90DB7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plateau </w:t>
            </w:r>
            <w:r w:rsidR="006B4A42">
              <w:rPr>
                <w:rFonts w:cstheme="minorHAnsi"/>
              </w:rPr>
              <w:t xml:space="preserve">aux bords arrondis </w:t>
            </w:r>
            <w:r>
              <w:rPr>
                <w:rFonts w:cstheme="minorHAnsi"/>
              </w:rPr>
              <w:t>en aluminium (fond de pizza</w:t>
            </w:r>
            <w:r w:rsidR="006B4A42">
              <w:rPr>
                <w:rFonts w:cstheme="minorHAnsi"/>
              </w:rPr>
              <w:t xml:space="preserve"> par exemple</w:t>
            </w:r>
            <w:r>
              <w:rPr>
                <w:rFonts w:cstheme="minorHAnsi"/>
              </w:rPr>
              <w:t>).</w:t>
            </w:r>
          </w:p>
          <w:p w14:paraId="659E222F" w14:textId="7D738F78" w:rsidR="00E90DB7" w:rsidRDefault="00E90DB7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petite bouteille de soda en plastique.</w:t>
            </w:r>
          </w:p>
          <w:p w14:paraId="3EC07EC1" w14:textId="0D690E02" w:rsidR="00E90DB7" w:rsidRDefault="00E90DB7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 électroscope.</w:t>
            </w:r>
          </w:p>
          <w:p w14:paraId="68124235" w14:textId="48EE1080" w:rsidR="00F30CB8" w:rsidRDefault="00F30CB8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 la colle (silicone ou simplement du papier collant)</w:t>
            </w:r>
            <w:r w:rsidR="00FC6103">
              <w:rPr>
                <w:rFonts w:cstheme="minorHAnsi"/>
              </w:rPr>
              <w:t>.</w:t>
            </w:r>
          </w:p>
          <w:p w14:paraId="6FFBE706" w14:textId="3B66F3AD" w:rsidR="00FC6103" w:rsidRPr="00991128" w:rsidRDefault="00FC6103" w:rsidP="0002451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feuille de papier aluminium.</w:t>
            </w:r>
          </w:p>
          <w:p w14:paraId="2E4D7327" w14:textId="77777777" w:rsidR="0085793C" w:rsidRPr="00991128" w:rsidRDefault="0085793C" w:rsidP="00F30CB8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5B1558DA" w:rsidR="00137871" w:rsidRDefault="0004074D" w:rsidP="006B4A42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6B4A42">
              <w:rPr>
                <w:rFonts w:cstheme="minorHAnsi"/>
              </w:rPr>
              <w:t>Coller la bouteille en plastique au milieu du plateau en aluminium.</w:t>
            </w:r>
          </w:p>
          <w:p w14:paraId="5CFE89C5" w14:textId="16C88E9B" w:rsidR="006B4A42" w:rsidRDefault="006B4A42" w:rsidP="006B4A4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Electriser le support en plastique par frottement avec la laine.</w:t>
            </w:r>
          </w:p>
          <w:p w14:paraId="08E728F5" w14:textId="055541BC" w:rsidR="006B4A42" w:rsidRDefault="006B4A42" w:rsidP="006B4A4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Lors de l’expérience, soulever le montage en le tenant par le </w:t>
            </w:r>
            <w:r w:rsidR="00FC6103">
              <w:rPr>
                <w:rFonts w:cstheme="minorHAnsi"/>
              </w:rPr>
              <w:t>haut de la bouteille</w:t>
            </w:r>
            <w:r>
              <w:rPr>
                <w:rFonts w:cstheme="minorHAnsi"/>
              </w:rPr>
              <w:t>.</w:t>
            </w:r>
          </w:p>
          <w:p w14:paraId="51459D08" w14:textId="272B2408" w:rsidR="006B4A42" w:rsidRDefault="00274C8A" w:rsidP="006B4A4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L’expérience ne présente aucun danger.</w:t>
            </w:r>
          </w:p>
          <w:p w14:paraId="3D121B47" w14:textId="787F844C" w:rsidR="00FC6103" w:rsidRDefault="00FC6103" w:rsidP="006B4A4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L’effet est augmenté en plaçant une feuille d’aluminium mise à la terre sous l’isolant (effet condensateur).</w:t>
            </w:r>
          </w:p>
          <w:p w14:paraId="2E4D732A" w14:textId="48D0D719" w:rsidR="00AA5450" w:rsidRPr="00991128" w:rsidRDefault="00274C8A" w:rsidP="00274C8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La mise en œuvre de l’expérience est décrite ci-dessous.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0836C174" w14:textId="40D77EED" w:rsidR="00024510" w:rsidRPr="00024510" w:rsidRDefault="006B4A42" w:rsidP="00024510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6B4A42">
              <w:rPr>
                <w:rFonts w:asciiTheme="minorHAnsi" w:hAnsiTheme="minorHAnsi" w:cstheme="minorHAnsi"/>
                <w:sz w:val="22"/>
                <w:szCs w:val="22"/>
              </w:rPr>
              <w:t>Historiquement,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024510" w:rsidRPr="000245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Volta</w:t>
            </w:r>
            <w:r w:rsidR="00024510"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 construisit (en 1775)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son « Electroforo perpetuo »</w:t>
            </w:r>
            <w:r w:rsidR="00274C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24510"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 instrument très simple, mais très efficace pour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faire </w:t>
            </w:r>
            <w:r w:rsidR="00024510" w:rsidRPr="00024510">
              <w:rPr>
                <w:rFonts w:asciiTheme="minorHAnsi" w:hAnsiTheme="minorHAnsi" w:cstheme="minorHAnsi"/>
                <w:sz w:val="22"/>
                <w:szCs w:val="22"/>
              </w:rPr>
              <w:t>comprendre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ses contemporains </w:t>
            </w:r>
            <w:r w:rsidR="00024510"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le concept de la </w:t>
            </w:r>
            <w:r w:rsidR="00024510" w:rsidRPr="000245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tension électrique</w:t>
            </w:r>
            <w:r w:rsidR="00274C8A" w:rsidRPr="00274C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819">
              <w:rPr>
                <w:rFonts w:asciiTheme="minorHAnsi" w:hAnsiTheme="minorHAnsi" w:cstheme="minorHAnsi"/>
                <w:sz w:val="22"/>
                <w:szCs w:val="22"/>
              </w:rPr>
              <w:t xml:space="preserve"> En effet :</w:t>
            </w:r>
          </w:p>
          <w:p w14:paraId="173D289B" w14:textId="5AF0C08B" w:rsidR="00274C8A" w:rsidRDefault="00607819" w:rsidP="00607819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séparant des charges, on crée une tension (électrique).</w:t>
            </w:r>
          </w:p>
          <w:p w14:paraId="61176A23" w14:textId="4785F329" w:rsidR="00607819" w:rsidRDefault="00607819" w:rsidP="00607819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étirant un ressort, on crée une tension (élastique).</w:t>
            </w:r>
          </w:p>
          <w:p w14:paraId="78CE352C" w14:textId="262D144C" w:rsidR="00607819" w:rsidRDefault="00607819" w:rsidP="00607819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éloignant un objet de la Terre, on crée une tension (gravifique)</w:t>
            </w:r>
          </w:p>
          <w:p w14:paraId="2A7072D7" w14:textId="4DBE2457" w:rsidR="00607819" w:rsidRDefault="00607819" w:rsidP="00607819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Dans chaque situation, il faut dépenser de l’énergie pour vaincre les forces internes au</w:t>
            </w:r>
            <w:r w:rsidR="00356A02">
              <w:rPr>
                <w:rFonts w:cstheme="minorHAnsi"/>
              </w:rPr>
              <w:t xml:space="preserve"> système et cette énergie dépensée se retrouve sous forme d’énergie électrique, mécanique ou autre.</w:t>
            </w:r>
          </w:p>
          <w:p w14:paraId="1284F1C1" w14:textId="49002F80" w:rsidR="00356A02" w:rsidRDefault="00356A02" w:rsidP="00607819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utilisant un électroscope, on peut montrer que le plateau conducteur ne se charge réellement qu</w:t>
            </w:r>
            <w:r w:rsidR="00FC6103">
              <w:rPr>
                <w:rFonts w:cstheme="minorHAnsi"/>
              </w:rPr>
              <w:t xml:space="preserve">e si </w:t>
            </w:r>
            <w:r>
              <w:rPr>
                <w:rFonts w:cstheme="minorHAnsi"/>
              </w:rPr>
              <w:t xml:space="preserve">une mise à la Terre a eu lieu. </w:t>
            </w:r>
          </w:p>
          <w:p w14:paraId="00A0EB0A" w14:textId="77777777" w:rsidR="00356A02" w:rsidRDefault="00356A02" w:rsidP="006B4A42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28EE0" w14:textId="09E9B4F8" w:rsidR="00356A02" w:rsidRPr="00024510" w:rsidRDefault="00356A02" w:rsidP="00356A02">
            <w:pPr>
              <w:spacing w:before="120"/>
              <w:ind w:left="709"/>
              <w:rPr>
                <w:rFonts w:cstheme="minorHAnsi"/>
                <w:lang w:val="fr-FR"/>
              </w:rPr>
            </w:pPr>
            <w:r w:rsidRPr="00024510">
              <w:rPr>
                <w:rFonts w:cstheme="minorHAnsi"/>
                <w:u w:val="single"/>
                <w:lang w:val="fr-FR"/>
              </w:rPr>
              <w:t>Fonctionnement</w:t>
            </w:r>
            <w:r w:rsidR="00CA1EE3" w:rsidRPr="00CA1EE3">
              <w:rPr>
                <w:rFonts w:cstheme="minorHAnsi"/>
                <w:lang w:val="fr-FR"/>
              </w:rPr>
              <w:t xml:space="preserve"> (schémas page suivante)</w:t>
            </w:r>
            <w:r w:rsidR="00CA1EE3">
              <w:rPr>
                <w:rFonts w:cstheme="minorHAnsi"/>
                <w:u w:val="single"/>
                <w:lang w:val="fr-FR"/>
              </w:rPr>
              <w:t xml:space="preserve"> </w:t>
            </w:r>
          </w:p>
          <w:p w14:paraId="781C11B6" w14:textId="4CC0DEC1" w:rsidR="00CA1EE3" w:rsidRPr="00024510" w:rsidRDefault="00CA1EE3" w:rsidP="00CA1EE3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Un disque isolant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 chargé par frottement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avec la laine (1)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>. Un plateau conducteur aux bords arrondis et pourvu d'un manche isolant est simplement déposé sur le disque chargé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>. Celui-ci induit des charges de signe opposé sur ses faces inférieures et supérieures. On touche alors la face supérieure, pour que les charges qui s'y trouvent puissent s'écouler vers la terre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>. Après cela, on soulève le plateau, en le tenant par son manche isolant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(3) et (4)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. La charge induite se répartit maintenant sur toute sa surface. Elle dépend évidemment de la grandeur de l'électrophore. </w:t>
            </w:r>
            <w:r w:rsidRPr="00607819">
              <w:rPr>
                <w:rFonts w:asciiTheme="minorHAnsi" w:hAnsiTheme="minorHAnsi" w:cstheme="minorHAnsi"/>
                <w:sz w:val="22"/>
                <w:szCs w:val="22"/>
              </w:rPr>
              <w:t>Il est possible d'en tirer des étincelles, à l'approche d'un doigt (5)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>. Quand le plateau est déchargé, il suffit de le replacer sur le disque isolant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(6)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t xml:space="preserve">, qui retient pratiquement toutes ces charges. On touche de nouveau la partie supérieure du disque, puis on le soulève. La quantité de charge recueillie est </w:t>
            </w:r>
            <w:r w:rsidRPr="000245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pratiquement identique à la première et l'opération peut se répéter à volonté. Volta parlait d'un "electroforo perpetuo".</w:t>
            </w:r>
          </w:p>
          <w:p w14:paraId="198AFEF7" w14:textId="7BBEED24" w:rsidR="002D683C" w:rsidRPr="00137871" w:rsidRDefault="00CA1EE3" w:rsidP="009C7062">
            <w:pPr>
              <w:pStyle w:val="Corpsdetext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0" wp14:anchorId="4B2002C2" wp14:editId="1ADF327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0</wp:posOffset>
                  </wp:positionV>
                  <wp:extent cx="6242050" cy="3257550"/>
                  <wp:effectExtent l="0" t="0" r="6350" b="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ophoro Volta (2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42E98784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763458F8" w14:textId="063250A6" w:rsidR="005E208A" w:rsidRDefault="005E208A" w:rsidP="005E208A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</w:t>
            </w:r>
            <w:r w:rsidR="00720269">
              <w:rPr>
                <w:rFonts w:cstheme="minorHAnsi"/>
              </w:rPr>
              <w:t xml:space="preserve">l’électrostatique sur </w:t>
            </w:r>
            <w:hyperlink r:id="rId11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5123C51B" w14:textId="1CF703B8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6BC4" w14:textId="77777777" w:rsidR="00204147" w:rsidRDefault="00204147" w:rsidP="00245A87">
      <w:pPr>
        <w:spacing w:after="0" w:line="240" w:lineRule="auto"/>
      </w:pPr>
      <w:r>
        <w:separator/>
      </w:r>
    </w:p>
  </w:endnote>
  <w:endnote w:type="continuationSeparator" w:id="0">
    <w:p w14:paraId="54EAEB37" w14:textId="77777777" w:rsidR="00204147" w:rsidRDefault="00204147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9E77" w14:textId="77777777" w:rsidR="00204147" w:rsidRDefault="00204147" w:rsidP="00245A87">
      <w:pPr>
        <w:spacing w:after="0" w:line="240" w:lineRule="auto"/>
      </w:pPr>
      <w:r>
        <w:separator/>
      </w:r>
    </w:p>
  </w:footnote>
  <w:footnote w:type="continuationSeparator" w:id="0">
    <w:p w14:paraId="01A1F151" w14:textId="77777777" w:rsidR="00204147" w:rsidRDefault="00204147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68A6"/>
    <w:multiLevelType w:val="hybridMultilevel"/>
    <w:tmpl w:val="EBB8A460"/>
    <w:lvl w:ilvl="0" w:tplc="C622A40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4510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F3B9F"/>
    <w:rsid w:val="00204147"/>
    <w:rsid w:val="00245A87"/>
    <w:rsid w:val="0026575A"/>
    <w:rsid w:val="00273D4C"/>
    <w:rsid w:val="00274C8A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56A02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331E6"/>
    <w:rsid w:val="00550D5A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E208A"/>
    <w:rsid w:val="005F0046"/>
    <w:rsid w:val="00607819"/>
    <w:rsid w:val="00625DCD"/>
    <w:rsid w:val="00643227"/>
    <w:rsid w:val="0066067D"/>
    <w:rsid w:val="006621BC"/>
    <w:rsid w:val="00673A0D"/>
    <w:rsid w:val="006A6585"/>
    <w:rsid w:val="006B4A42"/>
    <w:rsid w:val="006B6510"/>
    <w:rsid w:val="006D5FF5"/>
    <w:rsid w:val="006D6641"/>
    <w:rsid w:val="006E0E01"/>
    <w:rsid w:val="006E237F"/>
    <w:rsid w:val="006F2AAF"/>
    <w:rsid w:val="006F7BBF"/>
    <w:rsid w:val="00703575"/>
    <w:rsid w:val="00706A1E"/>
    <w:rsid w:val="00710689"/>
    <w:rsid w:val="00720269"/>
    <w:rsid w:val="00742A77"/>
    <w:rsid w:val="00753E82"/>
    <w:rsid w:val="00784991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A60CF"/>
    <w:rsid w:val="009B1428"/>
    <w:rsid w:val="009C7062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B0482"/>
    <w:rsid w:val="00C25F6D"/>
    <w:rsid w:val="00C37C5F"/>
    <w:rsid w:val="00C44D42"/>
    <w:rsid w:val="00C62991"/>
    <w:rsid w:val="00CA1EE3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90DB7"/>
    <w:rsid w:val="00EA195C"/>
    <w:rsid w:val="00EB0690"/>
    <w:rsid w:val="00EE14D0"/>
    <w:rsid w:val="00F30CB8"/>
    <w:rsid w:val="00F3164C"/>
    <w:rsid w:val="00F56797"/>
    <w:rsid w:val="00FA248D"/>
    <w:rsid w:val="00FA58F6"/>
    <w:rsid w:val="00FB6A98"/>
    <w:rsid w:val="00FC4B29"/>
    <w:rsid w:val="00FC6103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02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24510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658E-CC28-4A92-AA06-786072CF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12</cp:revision>
  <cp:lastPrinted>2019-12-10T09:54:00Z</cp:lastPrinted>
  <dcterms:created xsi:type="dcterms:W3CDTF">2019-12-10T08:44:00Z</dcterms:created>
  <dcterms:modified xsi:type="dcterms:W3CDTF">2020-01-14T09:32:00Z</dcterms:modified>
</cp:coreProperties>
</file>