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2DCAF" w14:textId="1B509661" w:rsidR="00F17950" w:rsidRDefault="00F17950" w:rsidP="00F17950">
      <w:pPr>
        <w:pStyle w:val="Titre3"/>
        <w:rPr>
          <w:lang w:val="fr-FR"/>
        </w:rPr>
      </w:pPr>
      <w:r>
        <w:rPr>
          <w:lang w:val="fr-FR"/>
        </w:rPr>
        <w:t>Questionnaire [avancé]</w:t>
      </w:r>
    </w:p>
    <w:p w14:paraId="6A342C67" w14:textId="2C66010B" w:rsidR="00F17950" w:rsidRPr="00322F0C" w:rsidRDefault="00F17950" w:rsidP="00F17950">
      <w:r>
        <w:rPr>
          <w:lang w:val="fr-FR"/>
        </w:rPr>
        <w:t xml:space="preserve">Répondez aux questions suivantes : </w:t>
      </w:r>
    </w:p>
    <w:p w14:paraId="6E985716" w14:textId="77777777" w:rsidR="00F17950" w:rsidRPr="002E4A71" w:rsidRDefault="00F17950" w:rsidP="00F17950">
      <w:pPr>
        <w:rPr>
          <w:lang w:val="fr-FR"/>
        </w:rPr>
      </w:pPr>
    </w:p>
    <w:p w14:paraId="6551E7DE" w14:textId="77777777" w:rsidR="00F17950" w:rsidRPr="00522706" w:rsidRDefault="00F17950" w:rsidP="00F17950">
      <w:pPr>
        <w:pStyle w:val="Paragraphedeliste"/>
        <w:numPr>
          <w:ilvl w:val="0"/>
          <w:numId w:val="1"/>
        </w:numPr>
        <w:rPr>
          <w:lang w:val="fr-FR"/>
        </w:rPr>
      </w:pPr>
      <w:r w:rsidRPr="37D64B99">
        <w:rPr>
          <w:b/>
          <w:bCs/>
          <w:lang w:val="fr-FR"/>
        </w:rPr>
        <w:t>Lorsque vous r</w:t>
      </w:r>
      <w:r>
        <w:rPr>
          <w:b/>
          <w:bCs/>
          <w:lang w:val="fr-FR"/>
        </w:rPr>
        <w:t>éutilisez</w:t>
      </w:r>
      <w:r w:rsidRPr="37D64B99">
        <w:rPr>
          <w:b/>
          <w:bCs/>
          <w:lang w:val="fr-FR"/>
        </w:rPr>
        <w:t xml:space="preserve"> une ressource sous licence Creative Commons qui est</w:t>
      </w:r>
      <w:r>
        <w:rPr>
          <w:b/>
          <w:bCs/>
          <w:lang w:val="fr-FR"/>
        </w:rPr>
        <w:t xml:space="preserve"> une </w:t>
      </w:r>
      <w:r w:rsidRPr="37D64B99">
        <w:rPr>
          <w:b/>
          <w:bCs/>
          <w:lang w:val="fr-FR"/>
        </w:rPr>
        <w:t xml:space="preserve">adaptation d’une œuvre tierce, vous êtes </w:t>
      </w:r>
      <w:proofErr w:type="spellStart"/>
      <w:r w:rsidRPr="37D64B99">
        <w:rPr>
          <w:b/>
          <w:bCs/>
          <w:lang w:val="fr-FR"/>
        </w:rPr>
        <w:t>obligé·e</w:t>
      </w:r>
      <w:proofErr w:type="spellEnd"/>
      <w:r w:rsidRPr="37D64B99">
        <w:rPr>
          <w:b/>
          <w:bCs/>
          <w:lang w:val="fr-FR"/>
        </w:rPr>
        <w:t xml:space="preserve"> de référencer les deux sources. </w:t>
      </w:r>
    </w:p>
    <w:p w14:paraId="123919AD" w14:textId="77777777" w:rsidR="00F17950" w:rsidRPr="00522706" w:rsidRDefault="00F17950" w:rsidP="00F17950">
      <w:pPr>
        <w:pStyle w:val="Paragraphedeliste"/>
        <w:numPr>
          <w:ilvl w:val="1"/>
          <w:numId w:val="1"/>
        </w:numPr>
        <w:rPr>
          <w:lang w:val="fr-FR"/>
        </w:rPr>
      </w:pPr>
      <w:r w:rsidRPr="00522706">
        <w:rPr>
          <w:lang w:val="fr-FR"/>
        </w:rPr>
        <w:t xml:space="preserve">Vrai </w:t>
      </w:r>
    </w:p>
    <w:p w14:paraId="339AB626" w14:textId="77777777" w:rsidR="00F17950" w:rsidRPr="00522706" w:rsidRDefault="00F17950" w:rsidP="00F17950">
      <w:pPr>
        <w:pStyle w:val="Paragraphedeliste"/>
        <w:numPr>
          <w:ilvl w:val="1"/>
          <w:numId w:val="1"/>
        </w:numPr>
        <w:rPr>
          <w:lang w:val="fr-FR"/>
        </w:rPr>
      </w:pPr>
      <w:r w:rsidRPr="00522706">
        <w:rPr>
          <w:lang w:val="fr-FR"/>
        </w:rPr>
        <w:t xml:space="preserve">Faux </w:t>
      </w:r>
    </w:p>
    <w:p w14:paraId="514AA167" w14:textId="77777777" w:rsidR="00F17950" w:rsidRPr="004C09FC" w:rsidRDefault="00F17950" w:rsidP="00F17950">
      <w:pPr>
        <w:pStyle w:val="Paragraphedeliste"/>
        <w:numPr>
          <w:ilvl w:val="0"/>
          <w:numId w:val="1"/>
        </w:numPr>
        <w:rPr>
          <w:lang w:val="fr-FR"/>
        </w:rPr>
      </w:pPr>
      <w:r w:rsidRPr="002F2D01">
        <w:rPr>
          <w:b/>
          <w:bCs/>
          <w:lang w:val="fr-FR"/>
        </w:rPr>
        <w:t xml:space="preserve">Lorsque vous prenez note de vos idées </w:t>
      </w:r>
      <w:r w:rsidRPr="37D64B99">
        <w:rPr>
          <w:b/>
          <w:bCs/>
          <w:lang w:val="fr-FR"/>
        </w:rPr>
        <w:t>lors d’un brainstorming</w:t>
      </w:r>
      <w:r>
        <w:rPr>
          <w:b/>
          <w:bCs/>
          <w:lang w:val="fr-FR"/>
        </w:rPr>
        <w:t xml:space="preserve"> avec des collègues</w:t>
      </w:r>
      <w:r w:rsidRPr="37D64B99">
        <w:rPr>
          <w:b/>
          <w:bCs/>
          <w:lang w:val="fr-FR"/>
        </w:rPr>
        <w:t xml:space="preserve">, vous pouvez protéger vos écrits par une licence Creative Commons avant de la partager à vos collègues.  </w:t>
      </w:r>
    </w:p>
    <w:p w14:paraId="371EBED7" w14:textId="77777777" w:rsidR="00F17950" w:rsidRDefault="00F17950" w:rsidP="00F17950">
      <w:pPr>
        <w:pStyle w:val="Paragraphedeliste"/>
        <w:numPr>
          <w:ilvl w:val="1"/>
          <w:numId w:val="1"/>
        </w:numPr>
        <w:rPr>
          <w:lang w:val="fr-FR"/>
        </w:rPr>
      </w:pPr>
      <w:r>
        <w:rPr>
          <w:lang w:val="fr-FR"/>
        </w:rPr>
        <w:t xml:space="preserve">Vrai </w:t>
      </w:r>
    </w:p>
    <w:p w14:paraId="318C1074" w14:textId="77777777" w:rsidR="00F17950" w:rsidRDefault="00F17950" w:rsidP="00F17950">
      <w:pPr>
        <w:pStyle w:val="Paragraphedeliste"/>
        <w:numPr>
          <w:ilvl w:val="1"/>
          <w:numId w:val="1"/>
        </w:numPr>
        <w:rPr>
          <w:lang w:val="fr-FR"/>
        </w:rPr>
      </w:pPr>
      <w:r>
        <w:rPr>
          <w:lang w:val="fr-FR"/>
        </w:rPr>
        <w:t xml:space="preserve">Faux </w:t>
      </w:r>
    </w:p>
    <w:p w14:paraId="655FFD84" w14:textId="77777777" w:rsidR="00F17950" w:rsidRPr="000E0691" w:rsidRDefault="00F17950" w:rsidP="00F17950">
      <w:pPr>
        <w:pStyle w:val="Paragraphedeliste"/>
        <w:numPr>
          <w:ilvl w:val="0"/>
          <w:numId w:val="1"/>
        </w:numPr>
        <w:rPr>
          <w:lang w:val="fr-FR"/>
        </w:rPr>
      </w:pPr>
      <w:r w:rsidRPr="37D64B99">
        <w:rPr>
          <w:b/>
          <w:bCs/>
          <w:lang w:val="fr-FR"/>
        </w:rPr>
        <w:t xml:space="preserve">Vous pouvez utiliser les logos Creative Commons sans demander l’autorisation préalable à l’organisation Creative Commons. </w:t>
      </w:r>
    </w:p>
    <w:p w14:paraId="2E8DA6D1" w14:textId="77777777" w:rsidR="00F17950" w:rsidRDefault="00F17950" w:rsidP="00F17950">
      <w:pPr>
        <w:pStyle w:val="Paragraphedeliste"/>
        <w:numPr>
          <w:ilvl w:val="1"/>
          <w:numId w:val="1"/>
        </w:numPr>
        <w:rPr>
          <w:lang w:val="fr-FR"/>
        </w:rPr>
      </w:pPr>
      <w:r>
        <w:rPr>
          <w:lang w:val="fr-FR"/>
        </w:rPr>
        <w:t xml:space="preserve">Vrai </w:t>
      </w:r>
    </w:p>
    <w:p w14:paraId="0B456F0E" w14:textId="77777777" w:rsidR="00F17950" w:rsidRPr="00322CC3" w:rsidRDefault="00F17950" w:rsidP="00F17950">
      <w:pPr>
        <w:pStyle w:val="Paragraphedeliste"/>
        <w:numPr>
          <w:ilvl w:val="1"/>
          <w:numId w:val="1"/>
        </w:numPr>
        <w:rPr>
          <w:lang w:val="fr-FR"/>
        </w:rPr>
      </w:pPr>
      <w:r>
        <w:rPr>
          <w:lang w:val="fr-FR"/>
        </w:rPr>
        <w:t>Faux</w:t>
      </w:r>
      <w:r>
        <w:rPr>
          <w:b/>
          <w:bCs/>
          <w:lang w:val="fr-FR"/>
        </w:rPr>
        <w:t xml:space="preserve"> </w:t>
      </w:r>
    </w:p>
    <w:p w14:paraId="01C2185F" w14:textId="77777777" w:rsidR="00F17950" w:rsidRPr="00322CC3" w:rsidRDefault="00F17950" w:rsidP="00F17950">
      <w:pPr>
        <w:pStyle w:val="Paragraphedeliste"/>
        <w:numPr>
          <w:ilvl w:val="0"/>
          <w:numId w:val="1"/>
        </w:numPr>
        <w:rPr>
          <w:lang w:val="fr-FR"/>
        </w:rPr>
      </w:pPr>
      <w:r w:rsidRPr="37D64B99">
        <w:rPr>
          <w:b/>
          <w:bCs/>
          <w:lang w:val="fr-FR"/>
        </w:rPr>
        <w:t xml:space="preserve">Sur votre présentation Powerpoint, vous devez apposer la licence sur chaque slide pour que la licence « prenne effet ». </w:t>
      </w:r>
    </w:p>
    <w:p w14:paraId="0E2DB567" w14:textId="77777777" w:rsidR="00F17950" w:rsidRDefault="00F17950" w:rsidP="00F17950">
      <w:pPr>
        <w:pStyle w:val="Paragraphedeliste"/>
        <w:numPr>
          <w:ilvl w:val="1"/>
          <w:numId w:val="1"/>
        </w:numPr>
        <w:rPr>
          <w:lang w:val="fr-FR"/>
        </w:rPr>
      </w:pPr>
      <w:r>
        <w:rPr>
          <w:lang w:val="fr-FR"/>
        </w:rPr>
        <w:t xml:space="preserve">Vrai </w:t>
      </w:r>
    </w:p>
    <w:p w14:paraId="0A94EF70" w14:textId="77777777" w:rsidR="00F17950" w:rsidRPr="00322CC3" w:rsidRDefault="00F17950" w:rsidP="00F17950">
      <w:pPr>
        <w:pStyle w:val="Paragraphedeliste"/>
        <w:numPr>
          <w:ilvl w:val="1"/>
          <w:numId w:val="1"/>
        </w:numPr>
        <w:rPr>
          <w:lang w:val="fr-FR"/>
        </w:rPr>
      </w:pPr>
      <w:r>
        <w:rPr>
          <w:lang w:val="fr-FR"/>
        </w:rPr>
        <w:t xml:space="preserve">Faux </w:t>
      </w:r>
    </w:p>
    <w:p w14:paraId="0EB25CF4" w14:textId="77777777" w:rsidR="00F17950" w:rsidRPr="00292B73" w:rsidRDefault="00F17950" w:rsidP="00F17950">
      <w:pPr>
        <w:pStyle w:val="Paragraphedeliste"/>
        <w:numPr>
          <w:ilvl w:val="0"/>
          <w:numId w:val="1"/>
        </w:numPr>
        <w:rPr>
          <w:b/>
          <w:bCs/>
          <w:lang w:val="fr-FR"/>
        </w:rPr>
      </w:pPr>
      <w:r w:rsidRPr="37D64B99">
        <w:rPr>
          <w:b/>
          <w:bCs/>
          <w:lang w:val="fr-FR"/>
        </w:rPr>
        <w:t xml:space="preserve">Citez 2 avantages à utiliser une licence CC-BY plutôt que CC-BY-NC. </w:t>
      </w:r>
    </w:p>
    <w:p w14:paraId="6BA4B822" w14:textId="77777777" w:rsidR="00F17950" w:rsidRPr="008E6984" w:rsidRDefault="00F17950" w:rsidP="00F17950">
      <w:pPr>
        <w:pStyle w:val="Paragraphedeliste"/>
        <w:numPr>
          <w:ilvl w:val="0"/>
          <w:numId w:val="1"/>
        </w:numPr>
        <w:rPr>
          <w:b/>
          <w:bCs/>
          <w:color w:val="70AD47" w:themeColor="accent6"/>
          <w:lang w:val="fr-FR"/>
        </w:rPr>
      </w:pPr>
      <w:r w:rsidRPr="37D64B99">
        <w:rPr>
          <w:b/>
          <w:bCs/>
          <w:lang w:val="fr-FR"/>
        </w:rPr>
        <w:t xml:space="preserve">Une société utilise pour sa campagne publicitaire une photographie diffusée sur Flickr. La photo, publiée sous licence CC, met en scène une jeune fille. La famille de celle-ci porte plainte contre l'entreprise pour violation de la vie privée et utilisation non-autorisée de la photographie. </w:t>
      </w:r>
      <w:r w:rsidRPr="002F2D01">
        <w:rPr>
          <w:b/>
          <w:bCs/>
          <w:lang w:val="fr-FR"/>
        </w:rPr>
        <w:t>La famille</w:t>
      </w:r>
      <w:r>
        <w:rPr>
          <w:b/>
          <w:bCs/>
          <w:lang w:val="fr-FR"/>
        </w:rPr>
        <w:t xml:space="preserve"> est</w:t>
      </w:r>
      <w:r w:rsidRPr="002F2D01">
        <w:rPr>
          <w:b/>
          <w:bCs/>
          <w:lang w:val="fr-FR"/>
        </w:rPr>
        <w:t xml:space="preserve">-elle dans ses droits ? </w:t>
      </w:r>
    </w:p>
    <w:p w14:paraId="2938D2BC" w14:textId="77777777" w:rsidR="00F17950" w:rsidRDefault="00F17950" w:rsidP="00F17950">
      <w:pPr>
        <w:pStyle w:val="Paragraphedeliste"/>
        <w:numPr>
          <w:ilvl w:val="1"/>
          <w:numId w:val="1"/>
        </w:numPr>
        <w:rPr>
          <w:lang w:val="fr-FR"/>
        </w:rPr>
      </w:pPr>
      <w:r>
        <w:rPr>
          <w:lang w:val="fr-FR"/>
        </w:rPr>
        <w:t xml:space="preserve">Vrai </w:t>
      </w:r>
    </w:p>
    <w:p w14:paraId="03F93CCF" w14:textId="77777777" w:rsidR="00F17950" w:rsidRDefault="00F17950" w:rsidP="00F17950">
      <w:pPr>
        <w:pStyle w:val="Paragraphedeliste"/>
        <w:numPr>
          <w:ilvl w:val="1"/>
          <w:numId w:val="1"/>
        </w:numPr>
        <w:rPr>
          <w:lang w:val="fr-FR"/>
        </w:rPr>
      </w:pPr>
      <w:r w:rsidRPr="37D64B99">
        <w:rPr>
          <w:lang w:val="fr-FR"/>
        </w:rPr>
        <w:t>Faux</w:t>
      </w:r>
    </w:p>
    <w:p w14:paraId="0B9E81C2" w14:textId="77777777" w:rsidR="00F17950" w:rsidRPr="00C83C59" w:rsidRDefault="00F17950" w:rsidP="00F17950">
      <w:pPr>
        <w:pStyle w:val="Paragraphedeliste"/>
        <w:numPr>
          <w:ilvl w:val="0"/>
          <w:numId w:val="1"/>
        </w:numPr>
        <w:rPr>
          <w:b/>
          <w:bCs/>
          <w:lang w:val="fr-FR"/>
        </w:rPr>
      </w:pPr>
      <w:r w:rsidRPr="643360DB">
        <w:rPr>
          <w:b/>
          <w:bCs/>
          <w:lang w:val="fr-FR"/>
        </w:rPr>
        <w:t xml:space="preserve">Quelle est la différence entre CC0 (domaine public) et les autres licences Creative Commons ?  </w:t>
      </w:r>
      <w:r w:rsidRPr="643360DB">
        <w:rPr>
          <w:lang w:val="fr-FR"/>
        </w:rPr>
        <w:t xml:space="preserve"> </w:t>
      </w:r>
    </w:p>
    <w:p w14:paraId="5AE49790" w14:textId="77777777" w:rsidR="00F17950" w:rsidRDefault="00F17950" w:rsidP="00F17950">
      <w:pPr>
        <w:pStyle w:val="Paragraphedeliste"/>
        <w:numPr>
          <w:ilvl w:val="0"/>
          <w:numId w:val="1"/>
        </w:numPr>
        <w:rPr>
          <w:rFonts w:eastAsia="Calibri"/>
          <w:lang w:val="fr-FR"/>
        </w:rPr>
      </w:pPr>
      <w:r w:rsidRPr="643360DB">
        <w:rPr>
          <w:rFonts w:eastAsia="Calibri"/>
          <w:b/>
          <w:bCs/>
          <w:lang w:val="fr-FR"/>
        </w:rPr>
        <w:t>Vous donnez un cours et votre présentation comprend une vidéo sous licence CC BY-NC-SA et des images sous licences CC BY-NC-ND. Avez-vous le droit de les utiliser ?</w:t>
      </w:r>
      <w:r w:rsidRPr="643360DB">
        <w:rPr>
          <w:rFonts w:eastAsia="Calibri"/>
          <w:lang w:val="fr-FR"/>
        </w:rPr>
        <w:t xml:space="preserve"> </w:t>
      </w:r>
    </w:p>
    <w:p w14:paraId="0E974FF9" w14:textId="77777777" w:rsidR="00F17950" w:rsidRDefault="00F17950" w:rsidP="00F17950">
      <w:pPr>
        <w:pStyle w:val="Paragraphedeliste"/>
        <w:numPr>
          <w:ilvl w:val="1"/>
          <w:numId w:val="1"/>
        </w:numPr>
        <w:rPr>
          <w:rFonts w:eastAsia="Calibri"/>
          <w:lang w:val="fr-FR"/>
        </w:rPr>
      </w:pPr>
      <w:r w:rsidRPr="643360DB">
        <w:rPr>
          <w:rFonts w:eastAsia="Calibri"/>
        </w:rPr>
        <w:t>Oui</w:t>
      </w:r>
      <w:r w:rsidRPr="643360DB">
        <w:rPr>
          <w:rFonts w:eastAsia="Calibri"/>
          <w:lang w:val="fr-FR"/>
        </w:rPr>
        <w:t xml:space="preserve"> </w:t>
      </w:r>
    </w:p>
    <w:p w14:paraId="5DE3C312" w14:textId="77777777" w:rsidR="00F17950" w:rsidRDefault="00F17950" w:rsidP="00F17950">
      <w:pPr>
        <w:pStyle w:val="Paragraphedeliste"/>
        <w:numPr>
          <w:ilvl w:val="1"/>
          <w:numId w:val="1"/>
        </w:numPr>
        <w:rPr>
          <w:rFonts w:eastAsia="Calibri"/>
          <w:lang w:val="fr-FR"/>
        </w:rPr>
      </w:pPr>
      <w:r w:rsidRPr="643360DB">
        <w:rPr>
          <w:rFonts w:eastAsia="Calibri"/>
        </w:rPr>
        <w:t>Non</w:t>
      </w:r>
    </w:p>
    <w:p w14:paraId="05BF6B8D" w14:textId="77777777" w:rsidR="00F17950" w:rsidRDefault="00F17950" w:rsidP="00F17950">
      <w:r>
        <w:br w:type="page"/>
      </w:r>
    </w:p>
    <w:p w14:paraId="1B8DA3D1" w14:textId="77777777" w:rsidR="00F17950" w:rsidRDefault="00F17950" w:rsidP="00F17950">
      <w:pPr>
        <w:rPr>
          <w:rFonts w:eastAsia="Calibri"/>
          <w:lang w:val="fr-FR"/>
        </w:rPr>
      </w:pPr>
    </w:p>
    <w:p w14:paraId="23D2471E" w14:textId="77777777" w:rsidR="00F17950" w:rsidRDefault="00F17950" w:rsidP="00F17950">
      <w:r>
        <w:t xml:space="preserve">Solutions : </w:t>
      </w:r>
    </w:p>
    <w:p w14:paraId="54FF1A98" w14:textId="77777777" w:rsidR="00F17950" w:rsidRPr="00690A97" w:rsidRDefault="00F17950" w:rsidP="00F17950">
      <w:pPr>
        <w:rPr>
          <w:b/>
          <w:bCs/>
          <w:sz w:val="16"/>
          <w:szCs w:val="16"/>
        </w:rPr>
      </w:pPr>
      <w:r w:rsidRPr="00276843">
        <w:rPr>
          <w:b/>
          <w:bCs/>
          <w:sz w:val="18"/>
          <w:szCs w:val="18"/>
        </w:rPr>
        <w:t xml:space="preserve">1. b </w:t>
      </w:r>
      <w:r w:rsidRPr="00276843">
        <w:rPr>
          <w:sz w:val="18"/>
          <w:szCs w:val="18"/>
        </w:rPr>
        <w:t>(Vous ne devez référencer que la source sous laquelle vous vous appuyez pour créer et/ou modifier votre nouvelle ressource. Dans certains cas, par soucis de bonne pratique, vous pouvez faire la distinction dans votre référencement entre l’œuvre originale et l’œuvre dérivée)</w:t>
      </w:r>
      <w:r>
        <w:rPr>
          <w:sz w:val="18"/>
          <w:szCs w:val="18"/>
        </w:rPr>
        <w:t xml:space="preserve"> ; </w:t>
      </w:r>
      <w:r w:rsidRPr="00276843">
        <w:rPr>
          <w:b/>
          <w:bCs/>
          <w:sz w:val="18"/>
          <w:szCs w:val="18"/>
        </w:rPr>
        <w:t>2. b</w:t>
      </w:r>
      <w:r>
        <w:rPr>
          <w:b/>
          <w:bCs/>
          <w:sz w:val="18"/>
          <w:szCs w:val="18"/>
        </w:rPr>
        <w:t xml:space="preserve"> </w:t>
      </w:r>
      <w:r w:rsidRPr="00276843">
        <w:rPr>
          <w:sz w:val="18"/>
          <w:szCs w:val="18"/>
        </w:rPr>
        <w:t>(Les idées ne peuvent être protégées par le droit d’auteur ou tout autre droit de propriété intellectuelle, condition sine qua non pour qu’une œuvre puisse être sous licence Creative Commons. Ce n’est que lorsqu’une idée s’est suffisamment concrétisée sous une expression particulière qu’elle peut être protégée. Toute la difficulté à présent réside dans le fait de déterminer quand l’idée s’est suffisamment concrétisée sous une forme particulière</w:t>
      </w:r>
      <w:r w:rsidRPr="00276843">
        <w:rPr>
          <w:rStyle w:val="Appelnotedebasdep"/>
          <w:sz w:val="18"/>
          <w:szCs w:val="18"/>
        </w:rPr>
        <w:footnoteReference w:id="1"/>
      </w:r>
      <w:r>
        <w:rPr>
          <w:sz w:val="18"/>
          <w:szCs w:val="18"/>
        </w:rPr>
        <w:t xml:space="preserve">) ; </w:t>
      </w:r>
      <w:r>
        <w:rPr>
          <w:b/>
          <w:bCs/>
          <w:sz w:val="20"/>
          <w:szCs w:val="20"/>
        </w:rPr>
        <w:t>3</w:t>
      </w:r>
      <w:r w:rsidRPr="005E56AB">
        <w:rPr>
          <w:b/>
          <w:bCs/>
          <w:sz w:val="20"/>
          <w:szCs w:val="20"/>
        </w:rPr>
        <w:t>. a</w:t>
      </w:r>
      <w:r>
        <w:rPr>
          <w:sz w:val="20"/>
          <w:szCs w:val="20"/>
        </w:rPr>
        <w:t xml:space="preserve"> </w:t>
      </w:r>
      <w:r w:rsidRPr="008272B2">
        <w:rPr>
          <w:sz w:val="16"/>
          <w:szCs w:val="16"/>
        </w:rPr>
        <w:t>(</w:t>
      </w:r>
      <w:r w:rsidRPr="008272B2">
        <w:rPr>
          <w:sz w:val="18"/>
          <w:szCs w:val="18"/>
        </w:rPr>
        <w:t xml:space="preserve">L’organisation à but non lucratif Creative Commons met à disposition de </w:t>
      </w:r>
      <w:proofErr w:type="spellStart"/>
      <w:r w:rsidRPr="008272B2">
        <w:rPr>
          <w:sz w:val="18"/>
          <w:szCs w:val="18"/>
        </w:rPr>
        <w:t>tou·te·s</w:t>
      </w:r>
      <w:proofErr w:type="spellEnd"/>
      <w:r w:rsidRPr="008272B2">
        <w:rPr>
          <w:sz w:val="18"/>
          <w:szCs w:val="18"/>
        </w:rPr>
        <w:t xml:space="preserve"> (</w:t>
      </w:r>
      <w:proofErr w:type="spellStart"/>
      <w:r w:rsidRPr="008272B2">
        <w:rPr>
          <w:sz w:val="18"/>
          <w:szCs w:val="18"/>
        </w:rPr>
        <w:t>du·de</w:t>
      </w:r>
      <w:proofErr w:type="spellEnd"/>
      <w:r w:rsidRPr="008272B2">
        <w:rPr>
          <w:sz w:val="18"/>
          <w:szCs w:val="18"/>
        </w:rPr>
        <w:t xml:space="preserve"> la </w:t>
      </w:r>
      <w:proofErr w:type="spellStart"/>
      <w:r w:rsidRPr="008272B2">
        <w:rPr>
          <w:sz w:val="18"/>
          <w:szCs w:val="18"/>
        </w:rPr>
        <w:t>créateur·rice</w:t>
      </w:r>
      <w:proofErr w:type="spellEnd"/>
      <w:r w:rsidRPr="008272B2">
        <w:rPr>
          <w:sz w:val="18"/>
          <w:szCs w:val="18"/>
        </w:rPr>
        <w:t xml:space="preserve"> </w:t>
      </w:r>
      <w:proofErr w:type="spellStart"/>
      <w:r w:rsidRPr="008272B2">
        <w:rPr>
          <w:sz w:val="18"/>
          <w:szCs w:val="18"/>
        </w:rPr>
        <w:t>individuel·le</w:t>
      </w:r>
      <w:proofErr w:type="spellEnd"/>
      <w:r w:rsidRPr="008272B2">
        <w:rPr>
          <w:sz w:val="18"/>
          <w:szCs w:val="18"/>
        </w:rPr>
        <w:t xml:space="preserve"> aux grandes entreprises) ses outils sans restriction d’accès)</w:t>
      </w:r>
      <w:r>
        <w:rPr>
          <w:sz w:val="18"/>
          <w:szCs w:val="18"/>
        </w:rPr>
        <w:t xml:space="preserve"> ; </w:t>
      </w:r>
      <w:r w:rsidRPr="008272B2">
        <w:rPr>
          <w:b/>
          <w:bCs/>
          <w:sz w:val="18"/>
          <w:szCs w:val="18"/>
        </w:rPr>
        <w:t xml:space="preserve">4. b </w:t>
      </w:r>
      <w:r w:rsidRPr="00690A97">
        <w:rPr>
          <w:sz w:val="16"/>
          <w:szCs w:val="16"/>
        </w:rPr>
        <w:t>(</w:t>
      </w:r>
      <w:r w:rsidRPr="008272B2">
        <w:rPr>
          <w:sz w:val="18"/>
          <w:szCs w:val="18"/>
        </w:rPr>
        <w:t>La licence doit être visible pour l’</w:t>
      </w:r>
      <w:proofErr w:type="spellStart"/>
      <w:r w:rsidRPr="008272B2">
        <w:rPr>
          <w:sz w:val="18"/>
          <w:szCs w:val="18"/>
        </w:rPr>
        <w:t>utilisateur·rice</w:t>
      </w:r>
      <w:proofErr w:type="spellEnd"/>
      <w:r w:rsidRPr="008272B2">
        <w:rPr>
          <w:sz w:val="18"/>
          <w:szCs w:val="18"/>
        </w:rPr>
        <w:t>. Apposer le logo sur la première page de garde suffit</w:t>
      </w:r>
      <w:r>
        <w:rPr>
          <w:sz w:val="18"/>
          <w:szCs w:val="18"/>
        </w:rPr>
        <w:t>) ;</w:t>
      </w:r>
      <w:r>
        <w:rPr>
          <w:b/>
          <w:bCs/>
          <w:sz w:val="16"/>
          <w:szCs w:val="16"/>
        </w:rPr>
        <w:t xml:space="preserve"> </w:t>
      </w:r>
      <w:r w:rsidRPr="008272B2">
        <w:rPr>
          <w:b/>
          <w:bCs/>
          <w:sz w:val="18"/>
          <w:szCs w:val="18"/>
        </w:rPr>
        <w:t xml:space="preserve">5. </w:t>
      </w:r>
      <w:r w:rsidRPr="00690A97">
        <w:rPr>
          <w:sz w:val="18"/>
          <w:szCs w:val="18"/>
        </w:rPr>
        <w:t>(</w:t>
      </w:r>
      <w:r w:rsidRPr="008272B2">
        <w:rPr>
          <w:sz w:val="18"/>
          <w:szCs w:val="18"/>
        </w:rPr>
        <w:t xml:space="preserve">La ressource aura plus de chance de circuler sans la clause NC. </w:t>
      </w:r>
    </w:p>
    <w:p w14:paraId="59AC2B1C" w14:textId="77777777" w:rsidR="00F17950" w:rsidRPr="008272B2" w:rsidRDefault="00F17950" w:rsidP="00F17950">
      <w:pPr>
        <w:rPr>
          <w:sz w:val="18"/>
          <w:szCs w:val="18"/>
        </w:rPr>
      </w:pPr>
      <w:r w:rsidRPr="008272B2">
        <w:rPr>
          <w:sz w:val="18"/>
          <w:szCs w:val="18"/>
        </w:rPr>
        <w:t>Ensuite,</w:t>
      </w:r>
      <w:r w:rsidRPr="008272B2">
        <w:rPr>
          <w:color w:val="70AD47" w:themeColor="accent6"/>
          <w:sz w:val="18"/>
          <w:szCs w:val="18"/>
        </w:rPr>
        <w:t xml:space="preserve"> </w:t>
      </w:r>
      <w:r w:rsidRPr="008272B2">
        <w:rPr>
          <w:sz w:val="18"/>
          <w:szCs w:val="18"/>
        </w:rPr>
        <w:t>la clause NC est souvent respectée par des entreprises ou des associations qui ne peuvent pas prendre le risque d’entreprendre une action légale. Elle dissuadera donc ceux qui observent la loi méticuleusement. De plus, des sites qui demandent un soutien financier (comme Wikipédia) ou d’autres initiatives qui survivent grâce à une compensation monétaire peuvent être bloqués dans la réutilisation de votre contenu, ce qui diminue la redistribution de la ressource à un public cible (écoles, initiatives culturelles, institutions publiques, etc.)</w:t>
      </w:r>
      <w:r>
        <w:rPr>
          <w:sz w:val="18"/>
          <w:szCs w:val="18"/>
        </w:rPr>
        <w:t xml:space="preserve"> ; </w:t>
      </w:r>
      <w:r w:rsidRPr="008272B2">
        <w:rPr>
          <w:b/>
          <w:bCs/>
          <w:sz w:val="18"/>
          <w:szCs w:val="18"/>
        </w:rPr>
        <w:t xml:space="preserve">6. a. </w:t>
      </w:r>
      <w:r>
        <w:rPr>
          <w:sz w:val="18"/>
          <w:szCs w:val="18"/>
        </w:rPr>
        <w:t>(</w:t>
      </w:r>
      <w:r w:rsidRPr="008272B2">
        <w:rPr>
          <w:sz w:val="18"/>
          <w:szCs w:val="18"/>
        </w:rPr>
        <w:t>Dans le cas de plainte contre la société qui a exploité la photographie, le problème le plus important est que l’</w:t>
      </w:r>
      <w:proofErr w:type="spellStart"/>
      <w:r w:rsidRPr="008272B2">
        <w:rPr>
          <w:sz w:val="18"/>
          <w:szCs w:val="18"/>
        </w:rPr>
        <w:t>auteur·e</w:t>
      </w:r>
      <w:proofErr w:type="spellEnd"/>
      <w:r w:rsidRPr="008272B2">
        <w:rPr>
          <w:sz w:val="18"/>
          <w:szCs w:val="18"/>
        </w:rPr>
        <w:t xml:space="preserve"> n’a pas été </w:t>
      </w:r>
      <w:proofErr w:type="spellStart"/>
      <w:r w:rsidRPr="008272B2">
        <w:rPr>
          <w:sz w:val="18"/>
          <w:szCs w:val="18"/>
        </w:rPr>
        <w:t>cité·e</w:t>
      </w:r>
      <w:proofErr w:type="spellEnd"/>
      <w:r w:rsidRPr="008272B2">
        <w:rPr>
          <w:sz w:val="18"/>
          <w:szCs w:val="18"/>
        </w:rPr>
        <w:t xml:space="preserve">. Que la photo soit sous licence Creative Commons et disponible librement sur Flickr </w:t>
      </w:r>
      <w:r w:rsidRPr="008272B2">
        <w:rPr>
          <w:b/>
          <w:bCs/>
          <w:sz w:val="18"/>
          <w:szCs w:val="18"/>
        </w:rPr>
        <w:t>ne dispense pas la société d’en citer l’</w:t>
      </w:r>
      <w:proofErr w:type="spellStart"/>
      <w:r w:rsidRPr="008272B2">
        <w:rPr>
          <w:b/>
          <w:bCs/>
          <w:sz w:val="18"/>
          <w:szCs w:val="18"/>
        </w:rPr>
        <w:t>auteur·e</w:t>
      </w:r>
      <w:proofErr w:type="spellEnd"/>
      <w:r w:rsidRPr="008272B2">
        <w:rPr>
          <w:sz w:val="18"/>
          <w:szCs w:val="18"/>
        </w:rPr>
        <w:t xml:space="preserve">. La société est donc en tort sur ce point-là. En ce qui concerne le droit à la vie privée, les licences Creative Commons n'ont rien à voir avec le respect de la vie privée. On est plutôt en droit de se demander si </w:t>
      </w:r>
      <w:r w:rsidRPr="008272B2">
        <w:rPr>
          <w:b/>
          <w:bCs/>
          <w:sz w:val="18"/>
          <w:szCs w:val="18"/>
        </w:rPr>
        <w:t>le photographe</w:t>
      </w:r>
      <w:r w:rsidRPr="008272B2">
        <w:rPr>
          <w:sz w:val="18"/>
          <w:szCs w:val="18"/>
        </w:rPr>
        <w:t xml:space="preserve"> avait l’autorisation de la personne pour diffuser sa photo</w:t>
      </w:r>
      <w:r>
        <w:rPr>
          <w:sz w:val="18"/>
          <w:szCs w:val="18"/>
        </w:rPr>
        <w:t xml:space="preserve">) ; </w:t>
      </w:r>
      <w:r w:rsidRPr="008272B2">
        <w:rPr>
          <w:b/>
          <w:bCs/>
          <w:sz w:val="18"/>
          <w:szCs w:val="18"/>
        </w:rPr>
        <w:t xml:space="preserve">7. b </w:t>
      </w:r>
      <w:r>
        <w:rPr>
          <w:sz w:val="18"/>
          <w:szCs w:val="18"/>
        </w:rPr>
        <w:t>(</w:t>
      </w:r>
      <w:r w:rsidRPr="008272B2">
        <w:rPr>
          <w:sz w:val="18"/>
          <w:szCs w:val="18"/>
        </w:rPr>
        <w:t>Une œuvre dans le domaine public est une œuvre pour laquelle l’</w:t>
      </w:r>
      <w:proofErr w:type="spellStart"/>
      <w:r w:rsidRPr="008272B2">
        <w:rPr>
          <w:sz w:val="18"/>
          <w:szCs w:val="18"/>
        </w:rPr>
        <w:t>auteur·e</w:t>
      </w:r>
      <w:proofErr w:type="spellEnd"/>
      <w:r w:rsidRPr="008272B2">
        <w:rPr>
          <w:sz w:val="18"/>
          <w:szCs w:val="18"/>
        </w:rPr>
        <w:t xml:space="preserve"> a renoncé à ses droits moraux et patrimoniaux [= droits d’auteur] alors que les Creative Commons sont des compléments aux droits d’auteur. Attention, ce n’est pas parce qu’une œuvre tombe dans le domaine public que d’autres droits ne peuvent pas subsister (droits d’édition, héritage, etc.)</w:t>
      </w:r>
      <w:r w:rsidRPr="008272B2">
        <w:rPr>
          <w:rStyle w:val="Appelnotedebasdep"/>
          <w:sz w:val="18"/>
          <w:szCs w:val="18"/>
        </w:rPr>
        <w:footnoteReference w:id="2"/>
      </w:r>
      <w:r>
        <w:rPr>
          <w:sz w:val="18"/>
          <w:szCs w:val="18"/>
        </w:rPr>
        <w:t xml:space="preserve"> ; </w:t>
      </w:r>
      <w:r w:rsidRPr="00B652FA">
        <w:rPr>
          <w:b/>
          <w:bCs/>
          <w:sz w:val="18"/>
          <w:szCs w:val="18"/>
        </w:rPr>
        <w:t>8.</w:t>
      </w:r>
      <w:r>
        <w:rPr>
          <w:b/>
          <w:bCs/>
          <w:sz w:val="18"/>
          <w:szCs w:val="18"/>
        </w:rPr>
        <w:t xml:space="preserve"> </w:t>
      </w:r>
      <w:r w:rsidRPr="00B652FA">
        <w:rPr>
          <w:b/>
          <w:bCs/>
          <w:sz w:val="18"/>
          <w:szCs w:val="18"/>
        </w:rPr>
        <w:t>a.</w:t>
      </w:r>
      <w:r>
        <w:rPr>
          <w:sz w:val="18"/>
          <w:szCs w:val="18"/>
        </w:rPr>
        <w:t xml:space="preserve"> (</w:t>
      </w:r>
      <w:r w:rsidRPr="008C57D2">
        <w:rPr>
          <w:sz w:val="18"/>
          <w:szCs w:val="18"/>
        </w:rPr>
        <w:t>Si le support de cours reste dans le cadre de la classe ou s’il est déposé sur un espace web où seuls les étudiants qui suivent le cours peuvent accéder, on est dans le cadre d’une utilisation pédagogique. Il n’y a donc pas de problème. Il en serait de même si les contenus utilisés étaient sous copyright. L’exception pédagogique a pour but de ne pas empêcher d’instructions et l’apprentissage pour des raisons de droit d’auteur.</w:t>
      </w:r>
      <w:r>
        <w:rPr>
          <w:sz w:val="18"/>
          <w:szCs w:val="18"/>
        </w:rPr>
        <w:t xml:space="preserve"> </w:t>
      </w:r>
      <w:r w:rsidRPr="008C57D2">
        <w:rPr>
          <w:sz w:val="18"/>
          <w:szCs w:val="18"/>
        </w:rPr>
        <w:t>Si le support de cours est publié ou déposé dur un espace web accessible à tout le monde, on est dans le cas d’une publication. L’auteur du support de cours doit alors s’assurer qu’il a le droit d’utiliser les vidéos et les images qu’il inclut dans son document.</w:t>
      </w:r>
      <w:r>
        <w:rPr>
          <w:sz w:val="18"/>
          <w:szCs w:val="18"/>
        </w:rPr>
        <w:t xml:space="preserve"> </w:t>
      </w:r>
      <w:r w:rsidRPr="008C57D2">
        <w:rPr>
          <w:sz w:val="18"/>
          <w:szCs w:val="18"/>
        </w:rPr>
        <w:t>Dans le cas présent, les 2 licences sont incompatibles (voir tableau ci-dessous). Il reste toujours la possibilité de contacter les auteurs des différentes vidéos et images pour leur demander l’autorisation d’utiliser leur œuvre.</w:t>
      </w:r>
      <w:r>
        <w:rPr>
          <w:sz w:val="18"/>
          <w:szCs w:val="18"/>
        </w:rPr>
        <w:t>)</w:t>
      </w:r>
    </w:p>
    <w:p w14:paraId="3CFEAE9C" w14:textId="77777777" w:rsidR="00F17950" w:rsidRPr="008272B2" w:rsidRDefault="00F17950" w:rsidP="00F17950">
      <w:pPr>
        <w:rPr>
          <w:b/>
          <w:bCs/>
          <w:sz w:val="18"/>
          <w:szCs w:val="18"/>
        </w:rPr>
      </w:pPr>
    </w:p>
    <w:p w14:paraId="117D5D8F" w14:textId="77777777" w:rsidR="00F17950" w:rsidRDefault="00F17950" w:rsidP="00F17950">
      <w:pPr>
        <w:pStyle w:val="Titre3"/>
      </w:pPr>
      <w:r>
        <w:rPr>
          <w:lang w:val="fr-FR"/>
        </w:rPr>
        <w:br w:type="column"/>
      </w:r>
    </w:p>
    <w:p w14:paraId="117AE3FC" w14:textId="77777777" w:rsidR="00F17950" w:rsidRDefault="00F17950" w:rsidP="00F17950">
      <w:pPr>
        <w:pStyle w:val="Titre3"/>
        <w:rPr>
          <w:lang w:val="fr-FR"/>
        </w:rPr>
      </w:pPr>
      <w:r>
        <w:rPr>
          <w:lang w:val="fr-FR"/>
        </w:rPr>
        <w:t xml:space="preserve">Références : </w:t>
      </w:r>
    </w:p>
    <w:p w14:paraId="3288F465" w14:textId="77777777" w:rsidR="00F17950" w:rsidRDefault="00F17950" w:rsidP="00F17950">
      <w:proofErr w:type="spellStart"/>
      <w:r>
        <w:t>Granval</w:t>
      </w:r>
      <w:proofErr w:type="spellEnd"/>
      <w:r>
        <w:t xml:space="preserve"> A., </w:t>
      </w:r>
      <w:proofErr w:type="spellStart"/>
      <w:r>
        <w:t>Grolimund</w:t>
      </w:r>
      <w:proofErr w:type="spellEnd"/>
      <w:r>
        <w:t xml:space="preserve"> R. et Guignard T. (2011). </w:t>
      </w:r>
      <w:r w:rsidRPr="009E7E5C">
        <w:rPr>
          <w:i/>
          <w:iCs/>
        </w:rPr>
        <w:t>Web 2.0 et bibliothèque. 4</w:t>
      </w:r>
      <w:r w:rsidRPr="009E7E5C">
        <w:rPr>
          <w:i/>
          <w:iCs/>
          <w:vertAlign w:val="superscript"/>
        </w:rPr>
        <w:t>e</w:t>
      </w:r>
      <w:r w:rsidRPr="009E7E5C">
        <w:rPr>
          <w:i/>
          <w:iCs/>
        </w:rPr>
        <w:t xml:space="preserve"> partie : les licences Creative Commons</w:t>
      </w:r>
      <w:r>
        <w:t xml:space="preserve">. Bibliothèque de l’EPFL, Ecole polytechnique fédérale de Lausanne. </w:t>
      </w:r>
    </w:p>
    <w:p w14:paraId="4B1482DC" w14:textId="77777777" w:rsidR="00F17950" w:rsidRDefault="00F17950" w:rsidP="00F17950"/>
    <w:p w14:paraId="6CED064A" w14:textId="77777777" w:rsidR="00F17950" w:rsidRPr="00BE1C6F" w:rsidRDefault="00F17950" w:rsidP="00F17950">
      <w:proofErr w:type="spellStart"/>
      <w:proofErr w:type="gramStart"/>
      <w:r>
        <w:t>fabriqueREL</w:t>
      </w:r>
      <w:proofErr w:type="spellEnd"/>
      <w:proofErr w:type="gramEnd"/>
      <w:r>
        <w:t xml:space="preserve"> (2023). </w:t>
      </w:r>
      <w:r>
        <w:rPr>
          <w:i/>
          <w:iCs/>
        </w:rPr>
        <w:t xml:space="preserve">Les droits et les différentes options des licences Creative Commons, </w:t>
      </w:r>
      <w:r>
        <w:t xml:space="preserve">consulté le 27/11/2023.  </w:t>
      </w:r>
    </w:p>
    <w:p w14:paraId="19C06F61" w14:textId="77777777" w:rsidR="00692E4E" w:rsidRDefault="00692E4E"/>
    <w:sectPr w:rsidR="00692E4E" w:rsidSect="00D9627D">
      <w:foot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E64CF" w14:textId="77777777" w:rsidR="006A41DA" w:rsidRDefault="006A41DA" w:rsidP="00F17950">
      <w:r>
        <w:separator/>
      </w:r>
    </w:p>
  </w:endnote>
  <w:endnote w:type="continuationSeparator" w:id="0">
    <w:p w14:paraId="6585673F" w14:textId="77777777" w:rsidR="006A41DA" w:rsidRDefault="006A41DA" w:rsidP="00F1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1EC3F" w14:textId="4776A86D" w:rsidR="00D9627D" w:rsidRPr="00D9627D" w:rsidRDefault="00D9627D" w:rsidP="00D9627D">
    <w:pPr>
      <w:pStyle w:val="Pieddepage"/>
      <w:rPr>
        <w:lang w:val="fr-FR"/>
      </w:rPr>
    </w:pPr>
    <w:r w:rsidRPr="00D9627D">
      <w:rPr>
        <w:b/>
        <w:bCs/>
        <w:lang w:val="fr-FR"/>
      </w:rPr>
      <w:t>Source</w:t>
    </w:r>
    <w:r>
      <w:rPr>
        <w:lang w:val="fr-FR"/>
      </w:rPr>
      <w:t> : « </w:t>
    </w:r>
    <w:r w:rsidR="00434699">
      <w:rPr>
        <w:lang w:val="fr-FR"/>
      </w:rPr>
      <w:t>A</w:t>
    </w:r>
    <w:r>
      <w:rPr>
        <w:lang w:val="fr-FR"/>
      </w:rPr>
      <w:t xml:space="preserve">telier Réutilisable. Questionnaire sur les licences Creative Commons », par F. Louette et S. DEPOTERRE, CCBYSA.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CFF32" w14:textId="77777777" w:rsidR="006A41DA" w:rsidRDefault="006A41DA" w:rsidP="00F17950">
      <w:r>
        <w:separator/>
      </w:r>
    </w:p>
  </w:footnote>
  <w:footnote w:type="continuationSeparator" w:id="0">
    <w:p w14:paraId="362A73E6" w14:textId="77777777" w:rsidR="006A41DA" w:rsidRDefault="006A41DA" w:rsidP="00F17950">
      <w:r>
        <w:continuationSeparator/>
      </w:r>
    </w:p>
  </w:footnote>
  <w:footnote w:id="1">
    <w:p w14:paraId="5C1732F3" w14:textId="77777777" w:rsidR="00F17950" w:rsidRPr="00A713AE" w:rsidRDefault="00F17950" w:rsidP="00F17950">
      <w:pPr>
        <w:pStyle w:val="Notedebasdepage"/>
      </w:pPr>
      <w:r>
        <w:rPr>
          <w:rStyle w:val="Appelnotedebasdep"/>
        </w:rPr>
        <w:footnoteRef/>
      </w:r>
      <w:r w:rsidRPr="001D6220">
        <w:t xml:space="preserve"> FOD </w:t>
      </w:r>
      <w:r>
        <w:t>É</w:t>
      </w:r>
      <w:r w:rsidRPr="001D6220">
        <w:t xml:space="preserve">conomie. </w:t>
      </w:r>
      <w:r>
        <w:rPr>
          <w:i/>
          <w:iCs/>
        </w:rPr>
        <w:t xml:space="preserve">Protection des idées des informations commerciales et du savoir-faire. </w:t>
      </w:r>
      <w:hyperlink r:id="rId1" w:history="1">
        <w:r w:rsidRPr="000C66B9">
          <w:rPr>
            <w:rStyle w:val="Lienhypertexte"/>
          </w:rPr>
          <w:t>https://economie.fgov.be/fr/themes/propriete-intellectuelle/innovation-et-propriete/protection-des-idees-des</w:t>
        </w:r>
      </w:hyperlink>
      <w:r w:rsidRPr="00A713AE">
        <w:t>, consulté</w:t>
      </w:r>
      <w:r>
        <w:t xml:space="preserve"> le 18/09/23. </w:t>
      </w:r>
    </w:p>
  </w:footnote>
  <w:footnote w:id="2">
    <w:p w14:paraId="010A8E0A" w14:textId="77777777" w:rsidR="00F17950" w:rsidRDefault="00F17950" w:rsidP="00F17950">
      <w:pPr>
        <w:pStyle w:val="Notedebasdepage"/>
      </w:pPr>
      <w:r>
        <w:rPr>
          <w:rStyle w:val="Appelnotedebasdep"/>
        </w:rPr>
        <w:footnoteRef/>
      </w:r>
      <w:r>
        <w:t xml:space="preserve"> R. </w:t>
      </w:r>
      <w:proofErr w:type="spellStart"/>
      <w:r>
        <w:t>Randriambelo</w:t>
      </w:r>
      <w:proofErr w:type="spellEnd"/>
      <w:r>
        <w:t xml:space="preserve">. 1min30. </w:t>
      </w:r>
      <w:r>
        <w:rPr>
          <w:i/>
          <w:iCs/>
        </w:rPr>
        <w:t xml:space="preserve">Domaine public. </w:t>
      </w:r>
      <w:hyperlink r:id="rId2" w:history="1">
        <w:r w:rsidRPr="000C66B9">
          <w:rPr>
            <w:rStyle w:val="Lienhypertexte"/>
          </w:rPr>
          <w:t>https://www.1min30.com/dictionnaire-du-web/domaine-public</w:t>
        </w:r>
      </w:hyperlink>
      <w:r w:rsidRPr="00292B73">
        <w:t>, consulté</w:t>
      </w:r>
      <w:r>
        <w:t xml:space="preserve"> le 18/09/23. </w:t>
      </w:r>
    </w:p>
    <w:p w14:paraId="0CF7CF7B" w14:textId="77777777" w:rsidR="00F17950" w:rsidRPr="00F33D64" w:rsidRDefault="00F17950" w:rsidP="00F17950">
      <w:pPr>
        <w:pStyle w:val="Notedebasdepage"/>
        <w:rPr>
          <w:lang w:val="fr-FR"/>
        </w:rPr>
      </w:pPr>
      <w:r>
        <w:t xml:space="preserve">FOD Économie. </w:t>
      </w:r>
      <w:r>
        <w:rPr>
          <w:i/>
          <w:iCs/>
        </w:rPr>
        <w:t>Le « libre accès, l</w:t>
      </w:r>
      <w:proofErr w:type="gramStart"/>
      <w:r>
        <w:rPr>
          <w:i/>
          <w:iCs/>
        </w:rPr>
        <w:t>’«</w:t>
      </w:r>
      <w:proofErr w:type="gramEnd"/>
      <w:r>
        <w:rPr>
          <w:i/>
          <w:iCs/>
        </w:rPr>
        <w:t xml:space="preserve"> Open source », les « Creative Commons », … </w:t>
      </w:r>
      <w:hyperlink r:id="rId3" w:history="1">
        <w:r w:rsidRPr="000C66B9">
          <w:rPr>
            <w:rStyle w:val="Lienhypertexte"/>
          </w:rPr>
          <w:t>https://economie.fgov.be/fr/themes/propriete-intellectuelle/droits-de-pi/droits-dauteur-et-droits/droits-dauteur/protection-des-oeuvres/le-libre-acces-l-open-source</w:t>
        </w:r>
      </w:hyperlink>
      <w:r w:rsidRPr="00292B73">
        <w:t>, cons</w:t>
      </w:r>
      <w:r>
        <w:t xml:space="preserve">ulté le 18/09/23. </w:t>
      </w:r>
      <w:r w:rsidRPr="00292B73">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A7203"/>
    <w:multiLevelType w:val="hybridMultilevel"/>
    <w:tmpl w:val="F628E024"/>
    <w:lvl w:ilvl="0" w:tplc="FFFFFFFF">
      <w:start w:val="1"/>
      <w:numFmt w:val="decimal"/>
      <w:lvlText w:val="%1."/>
      <w:lvlJc w:val="left"/>
      <w:pPr>
        <w:ind w:left="1440" w:hanging="360"/>
      </w:pPr>
      <w:rPr>
        <w:b w:val="0"/>
        <w:bCs w:val="0"/>
        <w:color w:val="auto"/>
      </w:rPr>
    </w:lvl>
    <w:lvl w:ilvl="1" w:tplc="080C0019">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num w:numId="1" w16cid:durableId="1689522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950"/>
    <w:rsid w:val="0024022F"/>
    <w:rsid w:val="00434699"/>
    <w:rsid w:val="00692E4E"/>
    <w:rsid w:val="006A41DA"/>
    <w:rsid w:val="00A50935"/>
    <w:rsid w:val="00D9627D"/>
    <w:rsid w:val="00F1795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4EABF"/>
  <w15:chartTrackingRefBased/>
  <w15:docId w15:val="{D0E8AD5E-9B83-4BA9-A06A-A0E19B9FF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950"/>
    <w:pPr>
      <w:spacing w:after="0" w:line="240" w:lineRule="auto"/>
      <w:jc w:val="both"/>
    </w:pPr>
    <w:rPr>
      <w:rFonts w:ascii="Calibri" w:hAnsi="Calibri" w:cs="Calibri"/>
      <w:kern w:val="0"/>
      <w:lang w:eastAsia="fr-BE"/>
      <w14:ligatures w14:val="none"/>
    </w:rPr>
  </w:style>
  <w:style w:type="paragraph" w:styleId="Titre1">
    <w:name w:val="heading 1"/>
    <w:basedOn w:val="Normal"/>
    <w:next w:val="Normal"/>
    <w:link w:val="Titre1Car"/>
    <w:uiPriority w:val="9"/>
    <w:qFormat/>
    <w:rsid w:val="00A50935"/>
    <w:pPr>
      <w:keepNext/>
      <w:keepLines/>
      <w:spacing w:before="240"/>
      <w:outlineLvl w:val="0"/>
    </w:pPr>
    <w:rPr>
      <w:rFonts w:ascii="Montserrat" w:eastAsiaTheme="majorEastAsia" w:hAnsi="Montserrat" w:cstheme="majorBidi"/>
      <w:sz w:val="32"/>
      <w:szCs w:val="32"/>
    </w:rPr>
  </w:style>
  <w:style w:type="paragraph" w:styleId="Titre2">
    <w:name w:val="heading 2"/>
    <w:basedOn w:val="Normal"/>
    <w:next w:val="Normal"/>
    <w:link w:val="Titre2Car"/>
    <w:uiPriority w:val="9"/>
    <w:semiHidden/>
    <w:unhideWhenUsed/>
    <w:qFormat/>
    <w:rsid w:val="00A50935"/>
    <w:pPr>
      <w:keepNext/>
      <w:keepLines/>
      <w:spacing w:before="40"/>
      <w:outlineLvl w:val="1"/>
    </w:pPr>
    <w:rPr>
      <w:rFonts w:ascii="Montserrat" w:eastAsiaTheme="majorEastAsia" w:hAnsi="Montserrat" w:cstheme="majorBidi"/>
      <w:b/>
      <w:sz w:val="26"/>
      <w:szCs w:val="26"/>
    </w:rPr>
  </w:style>
  <w:style w:type="paragraph" w:styleId="Titre3">
    <w:name w:val="heading 3"/>
    <w:basedOn w:val="Normal"/>
    <w:next w:val="Normal"/>
    <w:link w:val="Titre3Car"/>
    <w:uiPriority w:val="9"/>
    <w:unhideWhenUsed/>
    <w:qFormat/>
    <w:rsid w:val="00F1795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50935"/>
    <w:rPr>
      <w:rFonts w:ascii="Montserrat" w:eastAsiaTheme="majorEastAsia" w:hAnsi="Montserrat" w:cstheme="majorBidi"/>
      <w:sz w:val="32"/>
      <w:szCs w:val="32"/>
    </w:rPr>
  </w:style>
  <w:style w:type="character" w:customStyle="1" w:styleId="Titre2Car">
    <w:name w:val="Titre 2 Car"/>
    <w:basedOn w:val="Policepardfaut"/>
    <w:link w:val="Titre2"/>
    <w:uiPriority w:val="9"/>
    <w:semiHidden/>
    <w:rsid w:val="00A50935"/>
    <w:rPr>
      <w:rFonts w:ascii="Montserrat" w:eastAsiaTheme="majorEastAsia" w:hAnsi="Montserrat" w:cstheme="majorBidi"/>
      <w:b/>
      <w:sz w:val="26"/>
      <w:szCs w:val="26"/>
    </w:rPr>
  </w:style>
  <w:style w:type="paragraph" w:styleId="Commentaire">
    <w:name w:val="annotation text"/>
    <w:basedOn w:val="Normal"/>
    <w:link w:val="CommentaireCar"/>
    <w:uiPriority w:val="99"/>
    <w:unhideWhenUsed/>
    <w:rsid w:val="0024022F"/>
    <w:pPr>
      <w:spacing w:before="120" w:after="120"/>
    </w:pPr>
    <w:rPr>
      <w:rFonts w:cs="Times New Roman"/>
      <w:sz w:val="20"/>
      <w:szCs w:val="20"/>
      <w:lang w:val="fr-FR"/>
    </w:rPr>
  </w:style>
  <w:style w:type="character" w:customStyle="1" w:styleId="CommentaireCar">
    <w:name w:val="Commentaire Car"/>
    <w:basedOn w:val="Policepardfaut"/>
    <w:link w:val="Commentaire"/>
    <w:uiPriority w:val="99"/>
    <w:rsid w:val="0024022F"/>
    <w:rPr>
      <w:rFonts w:ascii="Times New Roman" w:hAnsi="Times New Roman" w:cs="Times New Roman"/>
      <w:sz w:val="20"/>
      <w:szCs w:val="20"/>
      <w:lang w:val="fr-FR" w:eastAsia="fr-BE"/>
    </w:rPr>
  </w:style>
  <w:style w:type="character" w:customStyle="1" w:styleId="Titre3Car">
    <w:name w:val="Titre 3 Car"/>
    <w:basedOn w:val="Policepardfaut"/>
    <w:link w:val="Titre3"/>
    <w:uiPriority w:val="9"/>
    <w:rsid w:val="00F17950"/>
    <w:rPr>
      <w:rFonts w:asciiTheme="majorHAnsi" w:eastAsiaTheme="majorEastAsia" w:hAnsiTheme="majorHAnsi" w:cstheme="majorBidi"/>
      <w:color w:val="1F3763" w:themeColor="accent1" w:themeShade="7F"/>
      <w:kern w:val="0"/>
      <w:sz w:val="24"/>
      <w:szCs w:val="24"/>
      <w:lang w:eastAsia="fr-BE"/>
      <w14:ligatures w14:val="none"/>
    </w:rPr>
  </w:style>
  <w:style w:type="paragraph" w:styleId="Paragraphedeliste">
    <w:name w:val="List Paragraph"/>
    <w:basedOn w:val="Normal"/>
    <w:uiPriority w:val="34"/>
    <w:qFormat/>
    <w:rsid w:val="00F17950"/>
    <w:pPr>
      <w:ind w:left="720"/>
      <w:contextualSpacing/>
    </w:pPr>
  </w:style>
  <w:style w:type="character" w:styleId="Lienhypertexte">
    <w:name w:val="Hyperlink"/>
    <w:basedOn w:val="Policepardfaut"/>
    <w:uiPriority w:val="99"/>
    <w:unhideWhenUsed/>
    <w:rsid w:val="00F17950"/>
    <w:rPr>
      <w:color w:val="0563C1" w:themeColor="hyperlink"/>
      <w:u w:val="single"/>
    </w:rPr>
  </w:style>
  <w:style w:type="paragraph" w:styleId="Notedebasdepage">
    <w:name w:val="footnote text"/>
    <w:basedOn w:val="Normal"/>
    <w:link w:val="NotedebasdepageCar"/>
    <w:uiPriority w:val="99"/>
    <w:unhideWhenUsed/>
    <w:rsid w:val="00F17950"/>
    <w:rPr>
      <w:sz w:val="20"/>
      <w:szCs w:val="20"/>
    </w:rPr>
  </w:style>
  <w:style w:type="character" w:customStyle="1" w:styleId="NotedebasdepageCar">
    <w:name w:val="Note de bas de page Car"/>
    <w:basedOn w:val="Policepardfaut"/>
    <w:link w:val="Notedebasdepage"/>
    <w:uiPriority w:val="99"/>
    <w:rsid w:val="00F17950"/>
    <w:rPr>
      <w:rFonts w:ascii="Calibri" w:hAnsi="Calibri" w:cs="Calibri"/>
      <w:kern w:val="0"/>
      <w:sz w:val="20"/>
      <w:szCs w:val="20"/>
      <w:lang w:eastAsia="fr-BE"/>
      <w14:ligatures w14:val="none"/>
    </w:rPr>
  </w:style>
  <w:style w:type="character" w:styleId="Appelnotedebasdep">
    <w:name w:val="footnote reference"/>
    <w:basedOn w:val="Policepardfaut"/>
    <w:uiPriority w:val="99"/>
    <w:semiHidden/>
    <w:unhideWhenUsed/>
    <w:rsid w:val="00F17950"/>
    <w:rPr>
      <w:vertAlign w:val="superscript"/>
    </w:rPr>
  </w:style>
  <w:style w:type="paragraph" w:styleId="En-tte">
    <w:name w:val="header"/>
    <w:basedOn w:val="Normal"/>
    <w:link w:val="En-tteCar"/>
    <w:uiPriority w:val="99"/>
    <w:unhideWhenUsed/>
    <w:rsid w:val="00D9627D"/>
    <w:pPr>
      <w:tabs>
        <w:tab w:val="center" w:pos="4536"/>
        <w:tab w:val="right" w:pos="9072"/>
      </w:tabs>
    </w:pPr>
  </w:style>
  <w:style w:type="character" w:customStyle="1" w:styleId="En-tteCar">
    <w:name w:val="En-tête Car"/>
    <w:basedOn w:val="Policepardfaut"/>
    <w:link w:val="En-tte"/>
    <w:uiPriority w:val="99"/>
    <w:rsid w:val="00D9627D"/>
    <w:rPr>
      <w:rFonts w:ascii="Calibri" w:hAnsi="Calibri" w:cs="Calibri"/>
      <w:kern w:val="0"/>
      <w:lang w:eastAsia="fr-BE"/>
      <w14:ligatures w14:val="none"/>
    </w:rPr>
  </w:style>
  <w:style w:type="paragraph" w:styleId="Pieddepage">
    <w:name w:val="footer"/>
    <w:basedOn w:val="Normal"/>
    <w:link w:val="PieddepageCar"/>
    <w:uiPriority w:val="99"/>
    <w:unhideWhenUsed/>
    <w:rsid w:val="00D9627D"/>
    <w:pPr>
      <w:tabs>
        <w:tab w:val="center" w:pos="4536"/>
        <w:tab w:val="right" w:pos="9072"/>
      </w:tabs>
    </w:pPr>
  </w:style>
  <w:style w:type="character" w:customStyle="1" w:styleId="PieddepageCar">
    <w:name w:val="Pied de page Car"/>
    <w:basedOn w:val="Policepardfaut"/>
    <w:link w:val="Pieddepage"/>
    <w:uiPriority w:val="99"/>
    <w:rsid w:val="00D9627D"/>
    <w:rPr>
      <w:rFonts w:ascii="Calibri" w:hAnsi="Calibri" w:cs="Calibri"/>
      <w:kern w:val="0"/>
      <w:lang w:eastAsia="fr-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onomie.fgov.be/fr/themes/propriete-intellectuelle/droits-de-pi/droits-dauteur-et-droits/droits-dauteur/protection-des-oeuvres/le-libre-acces-l-open-source" TargetMode="External"/><Relationship Id="rId2" Type="http://schemas.openxmlformats.org/officeDocument/2006/relationships/hyperlink" Target="https://www.1min30.com/dictionnaire-du-web/domaine-public" TargetMode="External"/><Relationship Id="rId1" Type="http://schemas.openxmlformats.org/officeDocument/2006/relationships/hyperlink" Target="https://economie.fgov.be/fr/themes/propriete-intellectuelle/innovation-et-propriete/protection-des-idees-d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B6E1DAB5C1C047AA1C538583517466" ma:contentTypeVersion="13" ma:contentTypeDescription="Crée un document." ma:contentTypeScope="" ma:versionID="d999ec8ebdc00aa44a56988f868f1ebe">
  <xsd:schema xmlns:xsd="http://www.w3.org/2001/XMLSchema" xmlns:xs="http://www.w3.org/2001/XMLSchema" xmlns:p="http://schemas.microsoft.com/office/2006/metadata/properties" xmlns:ns2="99401416-f8b6-4919-a60c-26a0a4f4229c" xmlns:ns3="4daf64a1-8a47-48d7-a978-4eb97c9f7acb" targetNamespace="http://schemas.microsoft.com/office/2006/metadata/properties" ma:root="true" ma:fieldsID="aa4c4170942fd84618589f77373f8ade" ns2:_="" ns3:_="">
    <xsd:import namespace="99401416-f8b6-4919-a60c-26a0a4f4229c"/>
    <xsd:import namespace="4daf64a1-8a47-48d7-a978-4eb97c9f7a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01416-f8b6-4919-a60c-26a0a4f4229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0c89b00a-e20d-4021-9430-a1c9737d0605}" ma:internalName="TaxCatchAll" ma:showField="CatchAllData" ma:web="99401416-f8b6-4919-a60c-26a0a4f422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af64a1-8a47-48d7-a978-4eb97c9f7a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6e87909b-6f91-4c34-a78b-ec0d666c48e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9401416-f8b6-4919-a60c-26a0a4f4229c" xsi:nil="true"/>
    <lcf76f155ced4ddcb4097134ff3c332f xmlns="4daf64a1-8a47-48d7-a978-4eb97c9f7a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CB155E-F77E-4B29-9B9E-DEE40425DDA9}"/>
</file>

<file path=customXml/itemProps2.xml><?xml version="1.0" encoding="utf-8"?>
<ds:datastoreItem xmlns:ds="http://schemas.openxmlformats.org/officeDocument/2006/customXml" ds:itemID="{97A124B1-D0F8-4EDD-8BC9-F49F77C25F29}"/>
</file>

<file path=customXml/itemProps3.xml><?xml version="1.0" encoding="utf-8"?>
<ds:datastoreItem xmlns:ds="http://schemas.openxmlformats.org/officeDocument/2006/customXml" ds:itemID="{50638BD0-72FC-4BCB-B901-30B395543994}"/>
</file>

<file path=docProps/app.xml><?xml version="1.0" encoding="utf-8"?>
<Properties xmlns="http://schemas.openxmlformats.org/officeDocument/2006/extended-properties" xmlns:vt="http://schemas.openxmlformats.org/officeDocument/2006/docPropsVTypes">
  <Template>Normal</Template>
  <TotalTime>2</TotalTime>
  <Pages>3</Pages>
  <Words>810</Words>
  <Characters>4455</Characters>
  <Application>Microsoft Office Word</Application>
  <DocSecurity>0</DocSecurity>
  <Lines>37</Lines>
  <Paragraphs>10</Paragraphs>
  <ScaleCrop>false</ScaleCrop>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 Louette</dc:creator>
  <cp:keywords/>
  <dc:description/>
  <cp:lastModifiedBy>Flore Louette</cp:lastModifiedBy>
  <cp:revision>3</cp:revision>
  <dcterms:created xsi:type="dcterms:W3CDTF">2023-11-27T13:45:00Z</dcterms:created>
  <dcterms:modified xsi:type="dcterms:W3CDTF">2023-11-27T13:49:00Z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0x01010075B6E1DAB5C1C047AA1C538583517466</vt:lpwstr>
  </property>
</Properties>
</file>